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4D612" w14:textId="77777777" w:rsidR="000A0813" w:rsidRPr="00047761" w:rsidRDefault="000A0813" w:rsidP="00434D21">
      <w:pPr>
        <w:rPr>
          <w:rFonts w:ascii="Arial" w:eastAsia="Arial" w:hAnsi="Arial" w:cs="Arial"/>
          <w:b/>
          <w:color w:val="D92C15"/>
          <w:sz w:val="44"/>
          <w:szCs w:val="44"/>
        </w:rPr>
      </w:pPr>
      <w:bookmarkStart w:id="0" w:name="_Hlk57990153"/>
    </w:p>
    <w:p w14:paraId="677115F5" w14:textId="7B3D30C4" w:rsidR="00434D21" w:rsidRDefault="00434D21" w:rsidP="00FF41FD">
      <w:pPr>
        <w:rPr>
          <w:rFonts w:ascii="Arial" w:eastAsia="Arial" w:hAnsi="Arial" w:cs="Arial"/>
          <w:b/>
          <w:color w:val="D92C15"/>
          <w:sz w:val="48"/>
          <w:szCs w:val="48"/>
        </w:rPr>
      </w:pPr>
      <w:r>
        <w:rPr>
          <w:rFonts w:ascii="Arial" w:eastAsia="Arial" w:hAnsi="Arial" w:cs="Arial"/>
          <w:b/>
          <w:color w:val="D92C15"/>
          <w:sz w:val="48"/>
          <w:szCs w:val="48"/>
        </w:rPr>
        <w:t xml:space="preserve">Il Censimento permanente </w:t>
      </w:r>
    </w:p>
    <w:p w14:paraId="63D98CF9" w14:textId="4986F44E" w:rsidR="00FF41FD" w:rsidRDefault="00434D21" w:rsidP="00FF41FD">
      <w:pPr>
        <w:rPr>
          <w:rFonts w:ascii="Arial" w:eastAsia="Arial" w:hAnsi="Arial" w:cs="Arial"/>
          <w:b/>
          <w:color w:val="D92C15"/>
          <w:sz w:val="48"/>
          <w:szCs w:val="48"/>
        </w:rPr>
      </w:pPr>
      <w:r>
        <w:rPr>
          <w:rFonts w:ascii="Arial" w:eastAsia="Arial" w:hAnsi="Arial" w:cs="Arial"/>
          <w:b/>
          <w:color w:val="D92C15"/>
          <w:sz w:val="48"/>
          <w:szCs w:val="48"/>
        </w:rPr>
        <w:t xml:space="preserve">della popolazione in </w:t>
      </w:r>
      <w:r w:rsidR="000351AB">
        <w:rPr>
          <w:rFonts w:ascii="Arial" w:eastAsia="Arial" w:hAnsi="Arial" w:cs="Arial"/>
          <w:b/>
          <w:color w:val="D92C15"/>
          <w:sz w:val="48"/>
          <w:szCs w:val="48"/>
        </w:rPr>
        <w:t>Basilicata</w:t>
      </w:r>
      <w:r w:rsidR="00FF41FD">
        <w:rPr>
          <w:rFonts w:ascii="Arial" w:eastAsia="Arial" w:hAnsi="Arial" w:cs="Arial"/>
          <w:b/>
          <w:color w:val="D92C15"/>
          <w:sz w:val="48"/>
          <w:szCs w:val="48"/>
        </w:rPr>
        <w:t xml:space="preserve"> </w:t>
      </w:r>
    </w:p>
    <w:p w14:paraId="42F21AA2" w14:textId="77777777" w:rsidR="0041266C" w:rsidRPr="00047761" w:rsidRDefault="0041266C" w:rsidP="00FF41FD">
      <w:pPr>
        <w:rPr>
          <w:rFonts w:ascii="Arial" w:eastAsia="Arial" w:hAnsi="Arial" w:cs="Arial"/>
          <w:b/>
          <w:color w:val="7F7F7F" w:themeColor="text1" w:themeTint="80"/>
          <w:sz w:val="20"/>
          <w:szCs w:val="20"/>
        </w:rPr>
      </w:pPr>
    </w:p>
    <w:p w14:paraId="7864476B" w14:textId="18880B43" w:rsidR="00434D21" w:rsidRDefault="000E7CDD" w:rsidP="0069134D">
      <w:pPr>
        <w:spacing w:after="120"/>
        <w:rPr>
          <w:rFonts w:ascii="Arial" w:eastAsia="Arial" w:hAnsi="Arial" w:cs="Arial"/>
          <w:b/>
          <w:color w:val="7F7F7F" w:themeColor="text1" w:themeTint="80"/>
          <w:sz w:val="28"/>
          <w:szCs w:val="28"/>
        </w:rPr>
      </w:pPr>
      <w:r w:rsidRPr="00047761">
        <w:rPr>
          <w:rFonts w:ascii="Arial" w:eastAsia="Arial" w:hAnsi="Arial" w:cs="Arial"/>
          <w:b/>
          <w:color w:val="7F7F7F" w:themeColor="text1" w:themeTint="80"/>
          <w:sz w:val="28"/>
          <w:szCs w:val="28"/>
        </w:rPr>
        <w:t>Anno 2020</w:t>
      </w:r>
    </w:p>
    <w:p w14:paraId="3624CC67" w14:textId="77777777" w:rsidR="0069134D" w:rsidRPr="00E77DFD" w:rsidRDefault="0069134D" w:rsidP="00047761">
      <w:pPr>
        <w:spacing w:after="120"/>
        <w:rPr>
          <w:rFonts w:ascii="Arial" w:eastAsia="Arial" w:hAnsi="Arial" w:cs="Arial"/>
          <w:b/>
          <w:iCs/>
          <w:color w:val="7F7F7F" w:themeColor="text1" w:themeTint="80"/>
          <w:sz w:val="28"/>
          <w:szCs w:val="28"/>
        </w:rPr>
      </w:pPr>
    </w:p>
    <w:p w14:paraId="623A5E27" w14:textId="6C9D8616" w:rsidR="00E704F3" w:rsidRPr="00047761" w:rsidRDefault="008C7BC5" w:rsidP="00047761">
      <w:pPr>
        <w:spacing w:after="120"/>
        <w:rPr>
          <w:rFonts w:ascii="Trebuchet MS" w:hAnsi="Trebuchet MS"/>
          <w:i/>
        </w:rPr>
      </w:pPr>
      <w:r>
        <w:rPr>
          <w:rStyle w:val="fontstyle01"/>
          <w:rFonts w:ascii="Trebuchet MS" w:hAnsi="Trebuchet MS"/>
          <w:iCs/>
        </w:rPr>
        <w:t>D</w:t>
      </w:r>
      <w:r w:rsidR="003C5237">
        <w:rPr>
          <w:rStyle w:val="fontstyle01"/>
          <w:rFonts w:ascii="Trebuchet MS" w:hAnsi="Trebuchet MS"/>
          <w:iCs/>
        </w:rPr>
        <w:t>istribuzione della popolazione residente</w:t>
      </w:r>
      <w:r w:rsidR="00C62A02">
        <w:rPr>
          <w:rStyle w:val="fontstyle01"/>
          <w:rFonts w:ascii="Trebuchet MS" w:hAnsi="Trebuchet MS"/>
          <w:iCs/>
        </w:rPr>
        <w:t xml:space="preserve"> </w:t>
      </w:r>
    </w:p>
    <w:p w14:paraId="01AD5BC2" w14:textId="0B4E0E2E" w:rsidR="006F3500" w:rsidRPr="007E75F4" w:rsidRDefault="006F3500" w:rsidP="006F3500">
      <w:pPr>
        <w:spacing w:after="120"/>
        <w:jc w:val="both"/>
        <w:rPr>
          <w:rFonts w:ascii="Trebuchet MS" w:hAnsi="Trebuchet MS" w:cs="Arial"/>
          <w:color w:val="5F5F5F"/>
          <w:sz w:val="20"/>
          <w:szCs w:val="20"/>
        </w:rPr>
      </w:pPr>
      <w:r w:rsidRPr="007E75F4">
        <w:rPr>
          <w:rFonts w:ascii="Trebuchet MS" w:hAnsi="Trebuchet MS" w:cs="Arial"/>
          <w:color w:val="5F5F5F"/>
          <w:sz w:val="20"/>
          <w:szCs w:val="20"/>
        </w:rPr>
        <w:t>Al 31 dicembre 2020, data di riferimento della terza edizione del Censimento permanente della popolazione, in Basilicata si contano 545.130 residenti. Al netto degli aggiustamenti statistici derivanti dalla nuova metodologia di calcolo</w:t>
      </w:r>
      <w:r w:rsidRPr="007E75F4">
        <w:rPr>
          <w:rStyle w:val="Rimandonotaapidipagina"/>
          <w:rFonts w:ascii="Trebuchet MS" w:hAnsi="Trebuchet MS" w:cs="Arial"/>
          <w:color w:val="5F5F5F"/>
          <w:sz w:val="20"/>
          <w:szCs w:val="20"/>
        </w:rPr>
        <w:footnoteReference w:id="1"/>
      </w:r>
      <w:r w:rsidRPr="007E75F4">
        <w:rPr>
          <w:rFonts w:ascii="Trebuchet MS" w:hAnsi="Trebuchet MS" w:cs="Arial"/>
          <w:color w:val="5F5F5F"/>
          <w:sz w:val="20"/>
          <w:szCs w:val="20"/>
        </w:rPr>
        <w:t>, i dati censuari registrano</w:t>
      </w:r>
      <w:r w:rsidR="00F96993">
        <w:rPr>
          <w:rFonts w:ascii="Trebuchet MS" w:hAnsi="Trebuchet MS" w:cs="Arial"/>
          <w:color w:val="5F5F5F"/>
          <w:sz w:val="20"/>
          <w:szCs w:val="20"/>
        </w:rPr>
        <w:t>,</w:t>
      </w:r>
      <w:r w:rsidRPr="007E75F4">
        <w:rPr>
          <w:rFonts w:ascii="Trebuchet MS" w:hAnsi="Trebuchet MS" w:cs="Arial"/>
          <w:color w:val="5F5F5F"/>
          <w:sz w:val="20"/>
          <w:szCs w:val="20"/>
        </w:rPr>
        <w:t xml:space="preserve"> rispetto all’edizione 2019</w:t>
      </w:r>
      <w:r w:rsidR="00F96993">
        <w:rPr>
          <w:rFonts w:ascii="Trebuchet MS" w:hAnsi="Trebuchet MS" w:cs="Arial"/>
          <w:color w:val="5F5F5F"/>
          <w:sz w:val="20"/>
          <w:szCs w:val="20"/>
        </w:rPr>
        <w:t>,</w:t>
      </w:r>
      <w:r w:rsidRPr="007E75F4">
        <w:rPr>
          <w:rFonts w:ascii="Trebuchet MS" w:hAnsi="Trebuchet MS" w:cs="Arial"/>
          <w:color w:val="5F5F5F"/>
          <w:sz w:val="20"/>
          <w:szCs w:val="20"/>
        </w:rPr>
        <w:t xml:space="preserve"> una riduzione di 8.124 unità nella regione (Prospetto 1).</w:t>
      </w:r>
    </w:p>
    <w:p w14:paraId="72A5C8D0" w14:textId="5C225237" w:rsidR="006F3500" w:rsidRPr="007E75F4" w:rsidRDefault="006F3500" w:rsidP="006F3500">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Il 64,7% della popolazione lucana vive nella provincia di Potenza, che ricopre il 65,5% del territorio. </w:t>
      </w:r>
      <w:r w:rsidR="00D1439D">
        <w:rPr>
          <w:rFonts w:ascii="Trebuchet MS" w:hAnsi="Trebuchet MS" w:cs="Arial"/>
          <w:color w:val="5F5F5F"/>
          <w:sz w:val="20"/>
          <w:szCs w:val="20"/>
        </w:rPr>
        <w:t>Vi</w:t>
      </w:r>
      <w:r w:rsidRPr="007E75F4">
        <w:rPr>
          <w:rFonts w:ascii="Trebuchet MS" w:hAnsi="Trebuchet MS" w:cs="Arial"/>
          <w:color w:val="5F5F5F"/>
          <w:sz w:val="20"/>
          <w:szCs w:val="20"/>
        </w:rPr>
        <w:t xml:space="preserve"> risiedono 53,5 abitanti ogni km</w:t>
      </w:r>
      <w:r w:rsidRPr="007E75F4">
        <w:rPr>
          <w:rFonts w:ascii="Trebuchet MS" w:hAnsi="Trebuchet MS" w:cs="Arial"/>
          <w:color w:val="5F5F5F"/>
          <w:sz w:val="20"/>
          <w:szCs w:val="20"/>
          <w:vertAlign w:val="superscript"/>
        </w:rPr>
        <w:t>2</w:t>
      </w:r>
      <w:r w:rsidRPr="007E75F4">
        <w:rPr>
          <w:rFonts w:ascii="Trebuchet MS" w:hAnsi="Trebuchet MS" w:cs="Arial"/>
          <w:color w:val="5F5F5F"/>
          <w:sz w:val="20"/>
          <w:szCs w:val="20"/>
        </w:rPr>
        <w:t xml:space="preserve"> contro i 55,4 della provincia di Matera.</w:t>
      </w:r>
    </w:p>
    <w:p w14:paraId="5D15BB44" w14:textId="4CF7A792" w:rsidR="006F3500" w:rsidRDefault="006F3500" w:rsidP="006F3500">
      <w:pPr>
        <w:spacing w:after="120"/>
        <w:jc w:val="both"/>
        <w:rPr>
          <w:rFonts w:ascii="Trebuchet MS" w:hAnsi="Trebuchet MS" w:cs="Arial"/>
          <w:color w:val="5F5F5F"/>
          <w:sz w:val="20"/>
          <w:szCs w:val="20"/>
        </w:rPr>
      </w:pPr>
      <w:r w:rsidRPr="007E75F4">
        <w:rPr>
          <w:rFonts w:ascii="Trebuchet MS" w:hAnsi="Trebuchet MS" w:cs="Arial"/>
          <w:color w:val="5F5F5F"/>
          <w:sz w:val="20"/>
          <w:szCs w:val="20"/>
        </w:rPr>
        <w:t>Tra il 2019 e il 2020 la popolazione diminuisce in entrambe le province. Potenza registra il maggiore decremento sia in termini assoluti (-5.911 unità) che relativi (-1,7%). La provincia di Matera perde 2.213 unità</w:t>
      </w:r>
      <w:r w:rsidR="00711174">
        <w:rPr>
          <w:rFonts w:ascii="Trebuchet MS" w:hAnsi="Trebuchet MS" w:cs="Arial"/>
          <w:color w:val="5F5F5F"/>
          <w:sz w:val="20"/>
          <w:szCs w:val="20"/>
        </w:rPr>
        <w:t>,</w:t>
      </w:r>
      <w:r w:rsidRPr="007E75F4">
        <w:rPr>
          <w:rFonts w:ascii="Trebuchet MS" w:hAnsi="Trebuchet MS" w:cs="Arial"/>
          <w:color w:val="5F5F5F"/>
          <w:sz w:val="20"/>
          <w:szCs w:val="20"/>
        </w:rPr>
        <w:t xml:space="preserve"> pari al -1,1%.</w:t>
      </w:r>
    </w:p>
    <w:p w14:paraId="1373F551" w14:textId="77777777" w:rsidR="001F2F32" w:rsidRPr="00047761" w:rsidRDefault="001F2F32" w:rsidP="006F6CA6">
      <w:pPr>
        <w:spacing w:after="120"/>
        <w:jc w:val="both"/>
        <w:rPr>
          <w:rFonts w:ascii="Trebuchet MS" w:hAnsi="Trebuchet MS" w:cs="Arial"/>
          <w:color w:val="5F5F5F"/>
          <w:sz w:val="14"/>
          <w:szCs w:val="14"/>
        </w:rPr>
      </w:pPr>
    </w:p>
    <w:p w14:paraId="7622DE9E" w14:textId="022E4516" w:rsidR="0041266C" w:rsidRPr="00047761" w:rsidRDefault="00E704F3">
      <w:pPr>
        <w:spacing w:after="120"/>
        <w:jc w:val="both"/>
        <w:rPr>
          <w:rFonts w:ascii="Arial Narrow" w:hAnsi="Arial Narrow" w:cs="Calibri"/>
          <w:color w:val="595959" w:themeColor="text1" w:themeTint="A6"/>
          <w:sz w:val="22"/>
          <w:szCs w:val="22"/>
        </w:rPr>
      </w:pPr>
      <w:r w:rsidRPr="00047761">
        <w:rPr>
          <w:rFonts w:ascii="Arial Narrow" w:hAnsi="Arial Narrow" w:cs="Calibri"/>
          <w:b/>
          <w:bCs/>
          <w:color w:val="595959" w:themeColor="text1" w:themeTint="A6"/>
          <w:sz w:val="22"/>
          <w:szCs w:val="22"/>
        </w:rPr>
        <w:t xml:space="preserve">PROSPETTO 1. </w:t>
      </w:r>
      <w:r w:rsidRPr="00047761">
        <w:rPr>
          <w:rFonts w:ascii="Arial Narrow" w:hAnsi="Arial Narrow" w:cs="Calibri"/>
          <w:color w:val="595959" w:themeColor="text1" w:themeTint="A6"/>
          <w:sz w:val="22"/>
          <w:szCs w:val="22"/>
        </w:rPr>
        <w:t>POPOLAZIONE CENSITA AL 31.12.2019, POPOLAZIONE CALCOLATA AL 31.12.2020, AGGIUSTAMENTO STATISTICO CENSUARIO, POPOLAZIONE CENSITA AL 31.12.2020 E VARIAZIONE 2020-2019</w:t>
      </w:r>
      <w:r w:rsidR="009A6123" w:rsidRPr="00047761">
        <w:rPr>
          <w:rFonts w:ascii="Arial Narrow" w:hAnsi="Arial Narrow" w:cs="Calibri"/>
          <w:color w:val="595959" w:themeColor="text1" w:themeTint="A6"/>
          <w:sz w:val="22"/>
          <w:szCs w:val="22"/>
        </w:rPr>
        <w:t xml:space="preserve"> PER PROVINCIA.</w:t>
      </w:r>
      <w:r w:rsidRPr="00047761">
        <w:rPr>
          <w:rFonts w:ascii="Arial Narrow" w:hAnsi="Arial Narrow" w:cs="Calibri"/>
          <w:color w:val="595959" w:themeColor="text1" w:themeTint="A6"/>
          <w:sz w:val="22"/>
          <w:szCs w:val="22"/>
        </w:rPr>
        <w:t xml:space="preserve"> Valori assoluti</w:t>
      </w:r>
    </w:p>
    <w:tbl>
      <w:tblPr>
        <w:tblW w:w="9620" w:type="dxa"/>
        <w:tblCellMar>
          <w:left w:w="70" w:type="dxa"/>
          <w:right w:w="70" w:type="dxa"/>
        </w:tblCellMar>
        <w:tblLook w:val="04A0" w:firstRow="1" w:lastRow="0" w:firstColumn="1" w:lastColumn="0" w:noHBand="0" w:noVBand="1"/>
      </w:tblPr>
      <w:tblGrid>
        <w:gridCol w:w="1920"/>
        <w:gridCol w:w="1540"/>
        <w:gridCol w:w="1540"/>
        <w:gridCol w:w="1540"/>
        <w:gridCol w:w="1540"/>
        <w:gridCol w:w="1540"/>
      </w:tblGrid>
      <w:tr w:rsidR="000351AB" w14:paraId="3D4275CE" w14:textId="77777777" w:rsidTr="000351AB">
        <w:trPr>
          <w:trHeight w:val="564"/>
        </w:trPr>
        <w:tc>
          <w:tcPr>
            <w:tcW w:w="1920" w:type="dxa"/>
            <w:vMerge w:val="restart"/>
            <w:tcBorders>
              <w:top w:val="single" w:sz="4" w:space="0" w:color="auto"/>
              <w:left w:val="nil"/>
              <w:bottom w:val="single" w:sz="4" w:space="0" w:color="auto"/>
              <w:right w:val="nil"/>
            </w:tcBorders>
            <w:shd w:val="clear" w:color="auto" w:fill="auto"/>
            <w:noWrap/>
            <w:vAlign w:val="center"/>
            <w:hideMark/>
          </w:tcPr>
          <w:p w14:paraId="53233D8E" w14:textId="77777777" w:rsidR="000351AB" w:rsidRDefault="000351AB">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540" w:type="dxa"/>
            <w:tcBorders>
              <w:top w:val="single" w:sz="4" w:space="0" w:color="auto"/>
              <w:left w:val="nil"/>
              <w:bottom w:val="single" w:sz="4" w:space="0" w:color="auto"/>
              <w:right w:val="nil"/>
            </w:tcBorders>
            <w:shd w:val="clear" w:color="auto" w:fill="auto"/>
            <w:vAlign w:val="center"/>
            <w:hideMark/>
          </w:tcPr>
          <w:p w14:paraId="09FD5CF0" w14:textId="77777777" w:rsidR="000351AB" w:rsidRDefault="000351AB">
            <w:pPr>
              <w:jc w:val="right"/>
              <w:rPr>
                <w:rFonts w:ascii="Arial Narrow" w:hAnsi="Arial Narrow" w:cs="Calibri"/>
                <w:b/>
                <w:bCs/>
                <w:color w:val="000000"/>
                <w:sz w:val="18"/>
                <w:szCs w:val="18"/>
              </w:rPr>
            </w:pPr>
            <w:r>
              <w:rPr>
                <w:rFonts w:ascii="Arial Narrow" w:hAnsi="Arial Narrow" w:cs="Calibri"/>
                <w:b/>
                <w:bCs/>
                <w:color w:val="000000"/>
                <w:sz w:val="18"/>
                <w:szCs w:val="18"/>
              </w:rPr>
              <w:t>Popolazione censita al 31.12.2019</w:t>
            </w:r>
          </w:p>
        </w:tc>
        <w:tc>
          <w:tcPr>
            <w:tcW w:w="1540" w:type="dxa"/>
            <w:tcBorders>
              <w:top w:val="single" w:sz="4" w:space="0" w:color="auto"/>
              <w:left w:val="nil"/>
              <w:bottom w:val="single" w:sz="4" w:space="0" w:color="auto"/>
              <w:right w:val="nil"/>
            </w:tcBorders>
            <w:shd w:val="clear" w:color="auto" w:fill="auto"/>
            <w:vAlign w:val="center"/>
            <w:hideMark/>
          </w:tcPr>
          <w:p w14:paraId="57E30953" w14:textId="77777777" w:rsidR="000351AB" w:rsidRDefault="000351AB">
            <w:pPr>
              <w:jc w:val="right"/>
              <w:rPr>
                <w:rFonts w:ascii="Arial Narrow" w:hAnsi="Arial Narrow" w:cs="Calibri"/>
                <w:b/>
                <w:bCs/>
                <w:color w:val="000000"/>
                <w:sz w:val="18"/>
                <w:szCs w:val="18"/>
              </w:rPr>
            </w:pPr>
            <w:r>
              <w:rPr>
                <w:rFonts w:ascii="Arial Narrow" w:hAnsi="Arial Narrow" w:cs="Calibri"/>
                <w:b/>
                <w:bCs/>
                <w:color w:val="000000"/>
                <w:sz w:val="18"/>
                <w:szCs w:val="18"/>
              </w:rPr>
              <w:t>Popolazione calcolata al 31.12.2020</w:t>
            </w:r>
          </w:p>
        </w:tc>
        <w:tc>
          <w:tcPr>
            <w:tcW w:w="1540" w:type="dxa"/>
            <w:tcBorders>
              <w:top w:val="single" w:sz="4" w:space="0" w:color="auto"/>
              <w:left w:val="nil"/>
              <w:bottom w:val="single" w:sz="4" w:space="0" w:color="auto"/>
              <w:right w:val="nil"/>
            </w:tcBorders>
            <w:shd w:val="clear" w:color="auto" w:fill="auto"/>
            <w:vAlign w:val="center"/>
            <w:hideMark/>
          </w:tcPr>
          <w:p w14:paraId="3BE9A073" w14:textId="77777777" w:rsidR="000351AB" w:rsidRDefault="000351AB">
            <w:pPr>
              <w:jc w:val="right"/>
              <w:rPr>
                <w:rFonts w:ascii="Arial Narrow" w:hAnsi="Arial Narrow" w:cs="Calibri"/>
                <w:b/>
                <w:bCs/>
                <w:color w:val="000000"/>
                <w:sz w:val="18"/>
                <w:szCs w:val="18"/>
              </w:rPr>
            </w:pPr>
            <w:r>
              <w:rPr>
                <w:rFonts w:ascii="Arial Narrow" w:hAnsi="Arial Narrow" w:cs="Calibri"/>
                <w:b/>
                <w:bCs/>
                <w:color w:val="000000"/>
                <w:sz w:val="18"/>
                <w:szCs w:val="18"/>
              </w:rPr>
              <w:t>Aggiustamento statistico censuario</w:t>
            </w:r>
          </w:p>
        </w:tc>
        <w:tc>
          <w:tcPr>
            <w:tcW w:w="1540" w:type="dxa"/>
            <w:tcBorders>
              <w:top w:val="single" w:sz="4" w:space="0" w:color="auto"/>
              <w:left w:val="nil"/>
              <w:bottom w:val="single" w:sz="4" w:space="0" w:color="auto"/>
              <w:right w:val="nil"/>
            </w:tcBorders>
            <w:shd w:val="clear" w:color="auto" w:fill="auto"/>
            <w:vAlign w:val="center"/>
            <w:hideMark/>
          </w:tcPr>
          <w:p w14:paraId="0CBD39D1" w14:textId="77777777" w:rsidR="000351AB" w:rsidRDefault="000351AB">
            <w:pPr>
              <w:jc w:val="right"/>
              <w:rPr>
                <w:rFonts w:ascii="Arial Narrow" w:hAnsi="Arial Narrow" w:cs="Calibri"/>
                <w:b/>
                <w:bCs/>
                <w:color w:val="000000"/>
                <w:sz w:val="18"/>
                <w:szCs w:val="18"/>
              </w:rPr>
            </w:pPr>
            <w:r>
              <w:rPr>
                <w:rFonts w:ascii="Arial Narrow" w:hAnsi="Arial Narrow" w:cs="Calibri"/>
                <w:b/>
                <w:bCs/>
                <w:color w:val="000000"/>
                <w:sz w:val="18"/>
                <w:szCs w:val="18"/>
              </w:rPr>
              <w:t>Popolazione censita al 31.12.2020</w:t>
            </w:r>
          </w:p>
        </w:tc>
        <w:tc>
          <w:tcPr>
            <w:tcW w:w="1540" w:type="dxa"/>
            <w:vMerge w:val="restart"/>
            <w:tcBorders>
              <w:top w:val="single" w:sz="4" w:space="0" w:color="auto"/>
              <w:left w:val="nil"/>
              <w:bottom w:val="single" w:sz="4" w:space="0" w:color="000000"/>
              <w:right w:val="nil"/>
            </w:tcBorders>
            <w:shd w:val="clear" w:color="auto" w:fill="auto"/>
            <w:vAlign w:val="center"/>
            <w:hideMark/>
          </w:tcPr>
          <w:p w14:paraId="525FB8D4" w14:textId="77777777" w:rsidR="000351AB" w:rsidRDefault="000351AB">
            <w:pPr>
              <w:jc w:val="right"/>
              <w:rPr>
                <w:rFonts w:ascii="Arial Narrow" w:hAnsi="Arial Narrow" w:cs="Calibri"/>
                <w:b/>
                <w:bCs/>
                <w:color w:val="000000"/>
                <w:sz w:val="18"/>
                <w:szCs w:val="18"/>
              </w:rPr>
            </w:pPr>
            <w:r>
              <w:rPr>
                <w:rFonts w:ascii="Arial Narrow" w:hAnsi="Arial Narrow" w:cs="Calibri"/>
                <w:b/>
                <w:bCs/>
                <w:color w:val="000000"/>
                <w:sz w:val="18"/>
                <w:szCs w:val="18"/>
              </w:rPr>
              <w:t>Variazione censuaria 2020-2019</w:t>
            </w:r>
          </w:p>
        </w:tc>
      </w:tr>
      <w:tr w:rsidR="000351AB" w14:paraId="51067A11" w14:textId="77777777" w:rsidTr="000351AB">
        <w:trPr>
          <w:trHeight w:val="300"/>
        </w:trPr>
        <w:tc>
          <w:tcPr>
            <w:tcW w:w="1920" w:type="dxa"/>
            <w:vMerge/>
            <w:tcBorders>
              <w:top w:val="single" w:sz="4" w:space="0" w:color="auto"/>
              <w:left w:val="nil"/>
              <w:bottom w:val="single" w:sz="4" w:space="0" w:color="auto"/>
              <w:right w:val="nil"/>
            </w:tcBorders>
            <w:vAlign w:val="center"/>
            <w:hideMark/>
          </w:tcPr>
          <w:p w14:paraId="39AE430B" w14:textId="77777777" w:rsidR="000351AB" w:rsidRDefault="000351AB">
            <w:pPr>
              <w:rPr>
                <w:rFonts w:ascii="Arial Narrow" w:hAnsi="Arial Narrow" w:cs="Calibri"/>
                <w:b/>
                <w:bCs/>
                <w:color w:val="000000"/>
                <w:sz w:val="18"/>
                <w:szCs w:val="18"/>
              </w:rPr>
            </w:pPr>
          </w:p>
        </w:tc>
        <w:tc>
          <w:tcPr>
            <w:tcW w:w="1540" w:type="dxa"/>
            <w:tcBorders>
              <w:top w:val="nil"/>
              <w:left w:val="nil"/>
              <w:bottom w:val="single" w:sz="4" w:space="0" w:color="auto"/>
              <w:right w:val="nil"/>
            </w:tcBorders>
            <w:shd w:val="clear" w:color="000000" w:fill="D9D9D9"/>
            <w:vAlign w:val="center"/>
            <w:hideMark/>
          </w:tcPr>
          <w:p w14:paraId="6D4EC35A" w14:textId="77777777" w:rsidR="000351AB" w:rsidRDefault="000351AB">
            <w:pPr>
              <w:jc w:val="center"/>
              <w:rPr>
                <w:rFonts w:ascii="Arial Narrow" w:hAnsi="Arial Narrow" w:cs="Calibri"/>
                <w:b/>
                <w:bCs/>
                <w:color w:val="000000"/>
                <w:sz w:val="18"/>
                <w:szCs w:val="18"/>
              </w:rPr>
            </w:pPr>
            <w:r>
              <w:rPr>
                <w:rFonts w:ascii="Arial Narrow" w:hAnsi="Arial Narrow" w:cs="Calibri"/>
                <w:b/>
                <w:bCs/>
                <w:color w:val="000000"/>
                <w:sz w:val="18"/>
                <w:szCs w:val="18"/>
              </w:rPr>
              <w:t>P19</w:t>
            </w:r>
          </w:p>
        </w:tc>
        <w:tc>
          <w:tcPr>
            <w:tcW w:w="1540" w:type="dxa"/>
            <w:tcBorders>
              <w:top w:val="nil"/>
              <w:left w:val="nil"/>
              <w:bottom w:val="single" w:sz="4" w:space="0" w:color="auto"/>
              <w:right w:val="nil"/>
            </w:tcBorders>
            <w:shd w:val="clear" w:color="000000" w:fill="FFFFFF"/>
            <w:noWrap/>
            <w:vAlign w:val="bottom"/>
            <w:hideMark/>
          </w:tcPr>
          <w:p w14:paraId="01A9430B" w14:textId="77777777" w:rsidR="000351AB" w:rsidRDefault="000351AB">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 P19+ST(*)</w:t>
            </w:r>
          </w:p>
        </w:tc>
        <w:tc>
          <w:tcPr>
            <w:tcW w:w="1540" w:type="dxa"/>
            <w:tcBorders>
              <w:top w:val="nil"/>
              <w:left w:val="nil"/>
              <w:bottom w:val="single" w:sz="4" w:space="0" w:color="auto"/>
              <w:right w:val="nil"/>
            </w:tcBorders>
            <w:shd w:val="clear" w:color="000000" w:fill="D9D9D9"/>
            <w:noWrap/>
            <w:vAlign w:val="bottom"/>
            <w:hideMark/>
          </w:tcPr>
          <w:p w14:paraId="557DAD79" w14:textId="77777777" w:rsidR="000351AB" w:rsidRDefault="000351AB">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 AG</w:t>
            </w:r>
          </w:p>
        </w:tc>
        <w:tc>
          <w:tcPr>
            <w:tcW w:w="1540" w:type="dxa"/>
            <w:tcBorders>
              <w:top w:val="nil"/>
              <w:left w:val="nil"/>
              <w:bottom w:val="single" w:sz="4" w:space="0" w:color="auto"/>
              <w:right w:val="nil"/>
            </w:tcBorders>
            <w:shd w:val="clear" w:color="000000" w:fill="FFFFFF"/>
            <w:noWrap/>
            <w:vAlign w:val="bottom"/>
            <w:hideMark/>
          </w:tcPr>
          <w:p w14:paraId="5174E8CD" w14:textId="77777777" w:rsidR="000351AB" w:rsidRDefault="000351AB">
            <w:pPr>
              <w:jc w:val="center"/>
              <w:rPr>
                <w:rFonts w:ascii="Arial Narrow" w:hAnsi="Arial Narrow" w:cs="Calibri"/>
                <w:b/>
                <w:bCs/>
                <w:color w:val="000000"/>
                <w:sz w:val="18"/>
                <w:szCs w:val="18"/>
              </w:rPr>
            </w:pPr>
            <w:r>
              <w:rPr>
                <w:rFonts w:ascii="Arial Narrow" w:hAnsi="Arial Narrow" w:cs="Calibri"/>
                <w:b/>
                <w:bCs/>
                <w:color w:val="000000"/>
                <w:sz w:val="18"/>
                <w:szCs w:val="18"/>
              </w:rPr>
              <w:t>P19+ST*+AG</w:t>
            </w:r>
          </w:p>
        </w:tc>
        <w:tc>
          <w:tcPr>
            <w:tcW w:w="1540" w:type="dxa"/>
            <w:vMerge/>
            <w:tcBorders>
              <w:top w:val="single" w:sz="4" w:space="0" w:color="auto"/>
              <w:left w:val="nil"/>
              <w:bottom w:val="single" w:sz="4" w:space="0" w:color="000000"/>
              <w:right w:val="nil"/>
            </w:tcBorders>
            <w:vAlign w:val="center"/>
            <w:hideMark/>
          </w:tcPr>
          <w:p w14:paraId="0D13F0B8" w14:textId="77777777" w:rsidR="000351AB" w:rsidRDefault="000351AB">
            <w:pPr>
              <w:rPr>
                <w:rFonts w:ascii="Arial Narrow" w:hAnsi="Arial Narrow" w:cs="Calibri"/>
                <w:b/>
                <w:bCs/>
                <w:color w:val="000000"/>
                <w:sz w:val="18"/>
                <w:szCs w:val="18"/>
              </w:rPr>
            </w:pPr>
          </w:p>
        </w:tc>
      </w:tr>
      <w:tr w:rsidR="000351AB" w14:paraId="51B6AC40" w14:textId="77777777" w:rsidTr="000351AB">
        <w:trPr>
          <w:trHeight w:val="300"/>
        </w:trPr>
        <w:tc>
          <w:tcPr>
            <w:tcW w:w="1920" w:type="dxa"/>
            <w:tcBorders>
              <w:top w:val="nil"/>
              <w:left w:val="nil"/>
              <w:bottom w:val="single" w:sz="4" w:space="0" w:color="auto"/>
              <w:right w:val="nil"/>
            </w:tcBorders>
            <w:shd w:val="clear" w:color="auto" w:fill="auto"/>
            <w:noWrap/>
            <w:vAlign w:val="center"/>
            <w:hideMark/>
          </w:tcPr>
          <w:p w14:paraId="0085B300" w14:textId="77777777" w:rsidR="000351AB" w:rsidRDefault="000351AB">
            <w:pPr>
              <w:rPr>
                <w:rFonts w:ascii="Arial Narrow" w:hAnsi="Arial Narrow" w:cs="Calibri"/>
                <w:color w:val="000000"/>
                <w:sz w:val="18"/>
                <w:szCs w:val="18"/>
              </w:rPr>
            </w:pPr>
            <w:r>
              <w:rPr>
                <w:rFonts w:ascii="Arial Narrow" w:hAnsi="Arial Narrow" w:cs="Calibri"/>
                <w:color w:val="000000"/>
                <w:sz w:val="18"/>
                <w:szCs w:val="18"/>
              </w:rPr>
              <w:t>Matera</w:t>
            </w:r>
          </w:p>
        </w:tc>
        <w:tc>
          <w:tcPr>
            <w:tcW w:w="1540" w:type="dxa"/>
            <w:tcBorders>
              <w:top w:val="nil"/>
              <w:left w:val="nil"/>
              <w:bottom w:val="single" w:sz="4" w:space="0" w:color="auto"/>
              <w:right w:val="nil"/>
            </w:tcBorders>
            <w:shd w:val="clear" w:color="000000" w:fill="D9D9D9"/>
            <w:noWrap/>
            <w:vAlign w:val="center"/>
            <w:hideMark/>
          </w:tcPr>
          <w:p w14:paraId="2430ABCB"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194.853</w:t>
            </w:r>
          </w:p>
        </w:tc>
        <w:tc>
          <w:tcPr>
            <w:tcW w:w="1540" w:type="dxa"/>
            <w:tcBorders>
              <w:top w:val="nil"/>
              <w:left w:val="nil"/>
              <w:bottom w:val="single" w:sz="4" w:space="0" w:color="auto"/>
              <w:right w:val="nil"/>
            </w:tcBorders>
            <w:shd w:val="clear" w:color="000000" w:fill="FFFFFF"/>
            <w:noWrap/>
            <w:vAlign w:val="center"/>
            <w:hideMark/>
          </w:tcPr>
          <w:p w14:paraId="7A3B4557"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193.621</w:t>
            </w:r>
          </w:p>
        </w:tc>
        <w:tc>
          <w:tcPr>
            <w:tcW w:w="1540" w:type="dxa"/>
            <w:tcBorders>
              <w:top w:val="nil"/>
              <w:left w:val="nil"/>
              <w:bottom w:val="single" w:sz="4" w:space="0" w:color="auto"/>
              <w:right w:val="nil"/>
            </w:tcBorders>
            <w:shd w:val="clear" w:color="000000" w:fill="D9D9D9"/>
            <w:noWrap/>
            <w:vAlign w:val="center"/>
            <w:hideMark/>
          </w:tcPr>
          <w:p w14:paraId="4EE00198"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-981</w:t>
            </w:r>
          </w:p>
        </w:tc>
        <w:tc>
          <w:tcPr>
            <w:tcW w:w="1540" w:type="dxa"/>
            <w:tcBorders>
              <w:top w:val="nil"/>
              <w:left w:val="nil"/>
              <w:bottom w:val="single" w:sz="4" w:space="0" w:color="auto"/>
              <w:right w:val="nil"/>
            </w:tcBorders>
            <w:shd w:val="clear" w:color="000000" w:fill="FFFFFF"/>
            <w:noWrap/>
            <w:vAlign w:val="center"/>
            <w:hideMark/>
          </w:tcPr>
          <w:p w14:paraId="02AA0481"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192.640</w:t>
            </w:r>
          </w:p>
        </w:tc>
        <w:tc>
          <w:tcPr>
            <w:tcW w:w="1540" w:type="dxa"/>
            <w:tcBorders>
              <w:top w:val="nil"/>
              <w:left w:val="nil"/>
              <w:bottom w:val="single" w:sz="4" w:space="0" w:color="auto"/>
              <w:right w:val="nil"/>
            </w:tcBorders>
            <w:shd w:val="clear" w:color="000000" w:fill="D9D9D9"/>
            <w:noWrap/>
            <w:vAlign w:val="center"/>
            <w:hideMark/>
          </w:tcPr>
          <w:p w14:paraId="4F7B8C00"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-2.213</w:t>
            </w:r>
          </w:p>
        </w:tc>
      </w:tr>
      <w:tr w:rsidR="000351AB" w14:paraId="5C966A4D" w14:textId="77777777" w:rsidTr="000351AB">
        <w:trPr>
          <w:trHeight w:val="300"/>
        </w:trPr>
        <w:tc>
          <w:tcPr>
            <w:tcW w:w="1920" w:type="dxa"/>
            <w:tcBorders>
              <w:top w:val="nil"/>
              <w:left w:val="nil"/>
              <w:bottom w:val="single" w:sz="4" w:space="0" w:color="auto"/>
              <w:right w:val="nil"/>
            </w:tcBorders>
            <w:shd w:val="clear" w:color="auto" w:fill="auto"/>
            <w:noWrap/>
            <w:vAlign w:val="center"/>
            <w:hideMark/>
          </w:tcPr>
          <w:p w14:paraId="67FAF255" w14:textId="77777777" w:rsidR="000351AB" w:rsidRDefault="000351AB">
            <w:pPr>
              <w:rPr>
                <w:rFonts w:ascii="Arial Narrow" w:hAnsi="Arial Narrow" w:cs="Calibri"/>
                <w:color w:val="000000"/>
                <w:sz w:val="18"/>
                <w:szCs w:val="18"/>
              </w:rPr>
            </w:pPr>
            <w:r>
              <w:rPr>
                <w:rFonts w:ascii="Arial Narrow" w:hAnsi="Arial Narrow" w:cs="Calibri"/>
                <w:color w:val="000000"/>
                <w:sz w:val="18"/>
                <w:szCs w:val="18"/>
              </w:rPr>
              <w:t>Potenza</w:t>
            </w:r>
          </w:p>
        </w:tc>
        <w:tc>
          <w:tcPr>
            <w:tcW w:w="1540" w:type="dxa"/>
            <w:tcBorders>
              <w:top w:val="nil"/>
              <w:left w:val="nil"/>
              <w:bottom w:val="single" w:sz="4" w:space="0" w:color="auto"/>
              <w:right w:val="nil"/>
            </w:tcBorders>
            <w:shd w:val="clear" w:color="000000" w:fill="D9D9D9"/>
            <w:noWrap/>
            <w:vAlign w:val="center"/>
            <w:hideMark/>
          </w:tcPr>
          <w:p w14:paraId="212F93FA"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358.401</w:t>
            </w:r>
          </w:p>
        </w:tc>
        <w:tc>
          <w:tcPr>
            <w:tcW w:w="1540" w:type="dxa"/>
            <w:tcBorders>
              <w:top w:val="nil"/>
              <w:left w:val="nil"/>
              <w:bottom w:val="single" w:sz="4" w:space="0" w:color="auto"/>
              <w:right w:val="nil"/>
            </w:tcBorders>
            <w:shd w:val="clear" w:color="000000" w:fill="FFFFFF"/>
            <w:noWrap/>
            <w:vAlign w:val="center"/>
            <w:hideMark/>
          </w:tcPr>
          <w:p w14:paraId="394CA348"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354.167</w:t>
            </w:r>
          </w:p>
        </w:tc>
        <w:tc>
          <w:tcPr>
            <w:tcW w:w="1540" w:type="dxa"/>
            <w:tcBorders>
              <w:top w:val="nil"/>
              <w:left w:val="nil"/>
              <w:bottom w:val="single" w:sz="4" w:space="0" w:color="auto"/>
              <w:right w:val="nil"/>
            </w:tcBorders>
            <w:shd w:val="clear" w:color="000000" w:fill="D9D9D9"/>
            <w:noWrap/>
            <w:vAlign w:val="center"/>
            <w:hideMark/>
          </w:tcPr>
          <w:p w14:paraId="4C20C33E"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-1.677</w:t>
            </w:r>
          </w:p>
        </w:tc>
        <w:tc>
          <w:tcPr>
            <w:tcW w:w="1540" w:type="dxa"/>
            <w:tcBorders>
              <w:top w:val="nil"/>
              <w:left w:val="nil"/>
              <w:bottom w:val="single" w:sz="4" w:space="0" w:color="auto"/>
              <w:right w:val="nil"/>
            </w:tcBorders>
            <w:shd w:val="clear" w:color="000000" w:fill="FFFFFF"/>
            <w:noWrap/>
            <w:vAlign w:val="center"/>
            <w:hideMark/>
          </w:tcPr>
          <w:p w14:paraId="1FEF034F"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352.490</w:t>
            </w:r>
          </w:p>
        </w:tc>
        <w:tc>
          <w:tcPr>
            <w:tcW w:w="1540" w:type="dxa"/>
            <w:tcBorders>
              <w:top w:val="nil"/>
              <w:left w:val="nil"/>
              <w:bottom w:val="single" w:sz="4" w:space="0" w:color="auto"/>
              <w:right w:val="nil"/>
            </w:tcBorders>
            <w:shd w:val="clear" w:color="000000" w:fill="D9D9D9"/>
            <w:noWrap/>
            <w:vAlign w:val="center"/>
            <w:hideMark/>
          </w:tcPr>
          <w:p w14:paraId="2F5EA2C0" w14:textId="77777777" w:rsidR="000351AB" w:rsidRDefault="000351AB">
            <w:pPr>
              <w:jc w:val="right"/>
              <w:rPr>
                <w:rFonts w:ascii="Arial Narrow" w:hAnsi="Arial Narrow" w:cs="Calibri"/>
                <w:color w:val="000000"/>
                <w:sz w:val="18"/>
                <w:szCs w:val="18"/>
              </w:rPr>
            </w:pPr>
            <w:r>
              <w:rPr>
                <w:rFonts w:ascii="Arial Narrow" w:hAnsi="Arial Narrow" w:cs="Calibri"/>
                <w:color w:val="000000"/>
                <w:sz w:val="18"/>
                <w:szCs w:val="18"/>
              </w:rPr>
              <w:t>-5.911</w:t>
            </w:r>
          </w:p>
        </w:tc>
      </w:tr>
      <w:tr w:rsidR="000351AB" w14:paraId="0BCFF37C" w14:textId="77777777" w:rsidTr="000351AB">
        <w:trPr>
          <w:trHeight w:val="300"/>
        </w:trPr>
        <w:tc>
          <w:tcPr>
            <w:tcW w:w="1920" w:type="dxa"/>
            <w:tcBorders>
              <w:top w:val="single" w:sz="4" w:space="0" w:color="auto"/>
              <w:left w:val="nil"/>
              <w:bottom w:val="single" w:sz="4" w:space="0" w:color="auto"/>
              <w:right w:val="nil"/>
            </w:tcBorders>
            <w:shd w:val="clear" w:color="000000" w:fill="C9321F"/>
            <w:noWrap/>
            <w:vAlign w:val="center"/>
            <w:hideMark/>
          </w:tcPr>
          <w:p w14:paraId="117901EA" w14:textId="77777777" w:rsidR="000351AB" w:rsidRDefault="000351AB">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1540" w:type="dxa"/>
            <w:tcBorders>
              <w:top w:val="single" w:sz="4" w:space="0" w:color="auto"/>
              <w:left w:val="nil"/>
              <w:bottom w:val="single" w:sz="4" w:space="0" w:color="auto"/>
              <w:right w:val="nil"/>
            </w:tcBorders>
            <w:shd w:val="clear" w:color="000000" w:fill="C9321F"/>
            <w:noWrap/>
            <w:vAlign w:val="center"/>
            <w:hideMark/>
          </w:tcPr>
          <w:p w14:paraId="6A4B1DBC" w14:textId="77777777" w:rsidR="000351AB" w:rsidRDefault="000351AB">
            <w:pPr>
              <w:jc w:val="right"/>
              <w:rPr>
                <w:rFonts w:ascii="Arial Narrow" w:hAnsi="Arial Narrow" w:cs="Calibri"/>
                <w:b/>
                <w:bCs/>
                <w:color w:val="FFFFFF"/>
                <w:sz w:val="18"/>
                <w:szCs w:val="18"/>
              </w:rPr>
            </w:pPr>
            <w:r>
              <w:rPr>
                <w:rFonts w:ascii="Arial Narrow" w:hAnsi="Arial Narrow" w:cs="Calibri"/>
                <w:b/>
                <w:bCs/>
                <w:color w:val="FFFFFF"/>
                <w:sz w:val="18"/>
                <w:szCs w:val="18"/>
              </w:rPr>
              <w:t>553.254</w:t>
            </w:r>
          </w:p>
        </w:tc>
        <w:tc>
          <w:tcPr>
            <w:tcW w:w="1540" w:type="dxa"/>
            <w:tcBorders>
              <w:top w:val="single" w:sz="4" w:space="0" w:color="auto"/>
              <w:left w:val="nil"/>
              <w:bottom w:val="single" w:sz="4" w:space="0" w:color="auto"/>
              <w:right w:val="nil"/>
            </w:tcBorders>
            <w:shd w:val="clear" w:color="000000" w:fill="C9321F"/>
            <w:noWrap/>
            <w:vAlign w:val="center"/>
            <w:hideMark/>
          </w:tcPr>
          <w:p w14:paraId="5EC0AA2F" w14:textId="77777777" w:rsidR="000351AB" w:rsidRDefault="000351AB">
            <w:pPr>
              <w:jc w:val="right"/>
              <w:rPr>
                <w:rFonts w:ascii="Arial Narrow" w:hAnsi="Arial Narrow" w:cs="Calibri"/>
                <w:b/>
                <w:bCs/>
                <w:color w:val="FFFFFF"/>
                <w:sz w:val="18"/>
                <w:szCs w:val="18"/>
              </w:rPr>
            </w:pPr>
            <w:r>
              <w:rPr>
                <w:rFonts w:ascii="Arial Narrow" w:hAnsi="Arial Narrow" w:cs="Calibri"/>
                <w:b/>
                <w:bCs/>
                <w:color w:val="FFFFFF"/>
                <w:sz w:val="18"/>
                <w:szCs w:val="18"/>
              </w:rPr>
              <w:t>547.788</w:t>
            </w:r>
          </w:p>
        </w:tc>
        <w:tc>
          <w:tcPr>
            <w:tcW w:w="1540" w:type="dxa"/>
            <w:tcBorders>
              <w:top w:val="single" w:sz="4" w:space="0" w:color="auto"/>
              <w:left w:val="nil"/>
              <w:bottom w:val="single" w:sz="4" w:space="0" w:color="auto"/>
              <w:right w:val="nil"/>
            </w:tcBorders>
            <w:shd w:val="clear" w:color="000000" w:fill="C9321F"/>
            <w:noWrap/>
            <w:vAlign w:val="center"/>
            <w:hideMark/>
          </w:tcPr>
          <w:p w14:paraId="204DB4B4" w14:textId="77777777" w:rsidR="000351AB" w:rsidRDefault="000351AB">
            <w:pPr>
              <w:jc w:val="right"/>
              <w:rPr>
                <w:rFonts w:ascii="Arial Narrow" w:hAnsi="Arial Narrow" w:cs="Calibri"/>
                <w:b/>
                <w:bCs/>
                <w:color w:val="FFFFFF"/>
                <w:sz w:val="18"/>
                <w:szCs w:val="18"/>
              </w:rPr>
            </w:pPr>
            <w:r>
              <w:rPr>
                <w:rFonts w:ascii="Arial Narrow" w:hAnsi="Arial Narrow" w:cs="Calibri"/>
                <w:b/>
                <w:bCs/>
                <w:color w:val="FFFFFF"/>
                <w:sz w:val="18"/>
                <w:szCs w:val="18"/>
              </w:rPr>
              <w:t>-2.658</w:t>
            </w:r>
          </w:p>
        </w:tc>
        <w:tc>
          <w:tcPr>
            <w:tcW w:w="1540" w:type="dxa"/>
            <w:tcBorders>
              <w:top w:val="single" w:sz="4" w:space="0" w:color="auto"/>
              <w:left w:val="nil"/>
              <w:bottom w:val="single" w:sz="4" w:space="0" w:color="auto"/>
              <w:right w:val="nil"/>
            </w:tcBorders>
            <w:shd w:val="clear" w:color="000000" w:fill="C9321F"/>
            <w:noWrap/>
            <w:vAlign w:val="center"/>
            <w:hideMark/>
          </w:tcPr>
          <w:p w14:paraId="601A18E2" w14:textId="77777777" w:rsidR="000351AB" w:rsidRDefault="000351AB">
            <w:pPr>
              <w:jc w:val="right"/>
              <w:rPr>
                <w:rFonts w:ascii="Arial Narrow" w:hAnsi="Arial Narrow" w:cs="Calibri"/>
                <w:b/>
                <w:bCs/>
                <w:color w:val="FFFFFF"/>
                <w:sz w:val="18"/>
                <w:szCs w:val="18"/>
              </w:rPr>
            </w:pPr>
            <w:r>
              <w:rPr>
                <w:rFonts w:ascii="Arial Narrow" w:hAnsi="Arial Narrow" w:cs="Calibri"/>
                <w:b/>
                <w:bCs/>
                <w:color w:val="FFFFFF"/>
                <w:sz w:val="18"/>
                <w:szCs w:val="18"/>
              </w:rPr>
              <w:t>545.130</w:t>
            </w:r>
          </w:p>
        </w:tc>
        <w:tc>
          <w:tcPr>
            <w:tcW w:w="1540" w:type="dxa"/>
            <w:tcBorders>
              <w:top w:val="single" w:sz="4" w:space="0" w:color="auto"/>
              <w:left w:val="nil"/>
              <w:bottom w:val="single" w:sz="4" w:space="0" w:color="auto"/>
              <w:right w:val="nil"/>
            </w:tcBorders>
            <w:shd w:val="clear" w:color="000000" w:fill="C9321F"/>
            <w:noWrap/>
            <w:vAlign w:val="center"/>
            <w:hideMark/>
          </w:tcPr>
          <w:p w14:paraId="6439787B" w14:textId="77777777" w:rsidR="000351AB" w:rsidRDefault="000351AB">
            <w:pPr>
              <w:jc w:val="right"/>
              <w:rPr>
                <w:rFonts w:ascii="Arial Narrow" w:hAnsi="Arial Narrow" w:cs="Calibri"/>
                <w:b/>
                <w:bCs/>
                <w:color w:val="FFFFFF"/>
                <w:sz w:val="18"/>
                <w:szCs w:val="18"/>
              </w:rPr>
            </w:pPr>
            <w:r>
              <w:rPr>
                <w:rFonts w:ascii="Arial Narrow" w:hAnsi="Arial Narrow" w:cs="Calibri"/>
                <w:b/>
                <w:bCs/>
                <w:color w:val="FFFFFF"/>
                <w:sz w:val="18"/>
                <w:szCs w:val="18"/>
              </w:rPr>
              <w:t>-8.124</w:t>
            </w:r>
          </w:p>
        </w:tc>
      </w:tr>
      <w:tr w:rsidR="000351AB" w14:paraId="325F6A6C" w14:textId="77777777" w:rsidTr="000351AB">
        <w:trPr>
          <w:trHeight w:val="300"/>
        </w:trPr>
        <w:tc>
          <w:tcPr>
            <w:tcW w:w="9620" w:type="dxa"/>
            <w:gridSpan w:val="6"/>
            <w:tcBorders>
              <w:top w:val="nil"/>
              <w:left w:val="nil"/>
              <w:bottom w:val="nil"/>
              <w:right w:val="nil"/>
            </w:tcBorders>
            <w:shd w:val="clear" w:color="auto" w:fill="auto"/>
            <w:noWrap/>
            <w:vAlign w:val="bottom"/>
            <w:hideMark/>
          </w:tcPr>
          <w:p w14:paraId="43BC85A2" w14:textId="77777777" w:rsidR="000351AB" w:rsidRDefault="000351AB">
            <w:pPr>
              <w:rPr>
                <w:rFonts w:ascii="Arial Narrow" w:hAnsi="Arial Narrow" w:cs="Calibri"/>
                <w:color w:val="000000"/>
                <w:sz w:val="16"/>
                <w:szCs w:val="16"/>
              </w:rPr>
            </w:pPr>
            <w:r>
              <w:rPr>
                <w:rFonts w:ascii="Arial Narrow" w:hAnsi="Arial Narrow" w:cs="Calibri"/>
                <w:color w:val="000000"/>
                <w:sz w:val="16"/>
                <w:szCs w:val="16"/>
              </w:rPr>
              <w:t>* saldo totale (ST) della dinamica demografica (Saldo naturale + Saldo migratorio) del Bilancio demografico 2020</w:t>
            </w:r>
          </w:p>
        </w:tc>
      </w:tr>
    </w:tbl>
    <w:p w14:paraId="70A56868" w14:textId="77777777" w:rsidR="001A589C" w:rsidRPr="00047761" w:rsidRDefault="001A589C" w:rsidP="00047761">
      <w:pPr>
        <w:spacing w:after="120"/>
        <w:jc w:val="both"/>
        <w:rPr>
          <w:rFonts w:ascii="Trebuchet MS" w:hAnsi="Trebuchet MS" w:cs="Arial"/>
          <w:b/>
          <w:color w:val="5F5F5F"/>
          <w:sz w:val="12"/>
          <w:szCs w:val="12"/>
        </w:rPr>
      </w:pPr>
    </w:p>
    <w:p w14:paraId="53742BE9" w14:textId="4B3BE349" w:rsidR="006F3500" w:rsidRPr="007E75F4" w:rsidRDefault="006F3500" w:rsidP="006F3500">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Tra il 2019 e il 2020 solo 5 dei 131 comuni lucani non hanno subito perdite di popolazione e tra questi solamente un comune ha più di 10.001 abitanti (Bernalda in provincia di Matera) e due tra 5.001 e 10.000 (Lagonegro in provincia di Potenza e Scanzano </w:t>
      </w:r>
      <w:r w:rsidR="0060612A">
        <w:rPr>
          <w:rFonts w:ascii="Trebuchet MS" w:hAnsi="Trebuchet MS" w:cs="Arial"/>
          <w:color w:val="5F5F5F"/>
          <w:sz w:val="20"/>
          <w:szCs w:val="20"/>
        </w:rPr>
        <w:t>J</w:t>
      </w:r>
      <w:r w:rsidRPr="007E75F4">
        <w:rPr>
          <w:rFonts w:ascii="Trebuchet MS" w:hAnsi="Trebuchet MS" w:cs="Arial"/>
          <w:color w:val="5F5F5F"/>
          <w:sz w:val="20"/>
          <w:szCs w:val="20"/>
        </w:rPr>
        <w:t xml:space="preserve">onico in provincia di Matera, che fa registrare anche il massimo incremento comunale in regione con solo 165 unità). </w:t>
      </w:r>
    </w:p>
    <w:p w14:paraId="2AC56283" w14:textId="23D5C7F8" w:rsidR="006F3500" w:rsidRPr="007E75F4" w:rsidRDefault="006F3500" w:rsidP="006F3500">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Sono invece 126 i comuni dove la popolazione diminuisce: in valore assoluto le perdite più consistenti si </w:t>
      </w:r>
      <w:proofErr w:type="spellStart"/>
      <w:r w:rsidRPr="007E75F4">
        <w:rPr>
          <w:rFonts w:ascii="Trebuchet MS" w:hAnsi="Trebuchet MS" w:cs="Arial"/>
          <w:color w:val="5F5F5F"/>
          <w:sz w:val="20"/>
          <w:szCs w:val="20"/>
        </w:rPr>
        <w:t>registano</w:t>
      </w:r>
      <w:proofErr w:type="spellEnd"/>
      <w:r w:rsidRPr="007E75F4">
        <w:rPr>
          <w:rFonts w:ascii="Trebuchet MS" w:hAnsi="Trebuchet MS" w:cs="Arial"/>
          <w:color w:val="5F5F5F"/>
          <w:sz w:val="20"/>
          <w:szCs w:val="20"/>
        </w:rPr>
        <w:t xml:space="preserve"> nei due capoluoghi di provincia Potenza (-973) e Matera (-736); in termini relativi nei comuni di Roccanova, Chiaromonte e San Mauro Forte (-4,9%)</w:t>
      </w:r>
      <w:r w:rsidR="00A51B5E">
        <w:rPr>
          <w:rFonts w:ascii="Trebuchet MS" w:hAnsi="Trebuchet MS" w:cs="Arial"/>
          <w:color w:val="5F5F5F"/>
          <w:sz w:val="20"/>
          <w:szCs w:val="20"/>
        </w:rPr>
        <w:t>, i primi due in provincia di Potenza, il terzo in provincia di Matera</w:t>
      </w:r>
      <w:r w:rsidRPr="007E75F4">
        <w:rPr>
          <w:rFonts w:ascii="Trebuchet MS" w:hAnsi="Trebuchet MS" w:cs="Arial"/>
          <w:color w:val="5F5F5F"/>
          <w:sz w:val="20"/>
          <w:szCs w:val="20"/>
        </w:rPr>
        <w:t>.</w:t>
      </w:r>
    </w:p>
    <w:p w14:paraId="2596EEB3" w14:textId="1F1A2A55" w:rsidR="007E75F4" w:rsidRDefault="006F3500" w:rsidP="006F3500">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Sotto il profilo della dimensione demografica la popolazione risulta in calo nel </w:t>
      </w:r>
      <w:r w:rsidR="00A51B5E">
        <w:rPr>
          <w:rFonts w:ascii="Trebuchet MS" w:hAnsi="Trebuchet MS" w:cs="Arial"/>
          <w:color w:val="5F5F5F"/>
          <w:sz w:val="20"/>
          <w:szCs w:val="20"/>
        </w:rPr>
        <w:t>98,7</w:t>
      </w:r>
      <w:r w:rsidRPr="007E75F4">
        <w:rPr>
          <w:rFonts w:ascii="Trebuchet MS" w:hAnsi="Trebuchet MS" w:cs="Arial"/>
          <w:color w:val="5F5F5F"/>
          <w:sz w:val="20"/>
          <w:szCs w:val="20"/>
        </w:rPr>
        <w:t xml:space="preserve">% dei comuni con popolazione compresa tra 1.001 e 5.000 residenti e nel </w:t>
      </w:r>
      <w:r w:rsidR="00A51B5E">
        <w:rPr>
          <w:rFonts w:ascii="Trebuchet MS" w:hAnsi="Trebuchet MS" w:cs="Arial"/>
          <w:color w:val="5F5F5F"/>
          <w:sz w:val="20"/>
          <w:szCs w:val="20"/>
        </w:rPr>
        <w:t>96,9</w:t>
      </w:r>
      <w:r w:rsidRPr="007E75F4">
        <w:rPr>
          <w:rFonts w:ascii="Trebuchet MS" w:hAnsi="Trebuchet MS" w:cs="Arial"/>
          <w:color w:val="5F5F5F"/>
          <w:sz w:val="20"/>
          <w:szCs w:val="20"/>
        </w:rPr>
        <w:t>% di quelli con popolazione fino a 1.000 residenti (Prospetto 2).</w:t>
      </w:r>
    </w:p>
    <w:p w14:paraId="7160FF66" w14:textId="20E4E722" w:rsidR="006F3500" w:rsidRDefault="006F3500" w:rsidP="006F3500">
      <w:pPr>
        <w:spacing w:after="120"/>
        <w:jc w:val="both"/>
        <w:rPr>
          <w:rFonts w:ascii="Trebuchet MS" w:hAnsi="Trebuchet MS" w:cs="Arial"/>
          <w:color w:val="5F5F5F"/>
          <w:sz w:val="20"/>
          <w:szCs w:val="20"/>
        </w:rPr>
      </w:pPr>
    </w:p>
    <w:p w14:paraId="23901CDD" w14:textId="77777777" w:rsidR="001A589C" w:rsidRPr="006F6CA6" w:rsidRDefault="001A589C" w:rsidP="001A589C">
      <w:pPr>
        <w:spacing w:after="120"/>
        <w:jc w:val="both"/>
        <w:rPr>
          <w:rFonts w:ascii="Trebuchet MS" w:hAnsi="Trebuchet MS" w:cs="Arial"/>
          <w:color w:val="5F5F5F"/>
          <w:sz w:val="20"/>
          <w:szCs w:val="20"/>
        </w:rPr>
      </w:pPr>
    </w:p>
    <w:p w14:paraId="37D85A4E" w14:textId="543168FB" w:rsidR="006B26EA" w:rsidRDefault="002125CB" w:rsidP="00047761">
      <w:pPr>
        <w:spacing w:after="120"/>
        <w:jc w:val="both"/>
        <w:rPr>
          <w:rFonts w:ascii="Arial Narrow" w:hAnsi="Arial Narrow" w:cs="Calibri"/>
          <w:color w:val="727272"/>
          <w:sz w:val="22"/>
          <w:szCs w:val="22"/>
        </w:rPr>
      </w:pPr>
      <w:r w:rsidRPr="00047761">
        <w:rPr>
          <w:rFonts w:ascii="Arial Narrow" w:hAnsi="Arial Narrow" w:cs="Calibri"/>
          <w:b/>
          <w:bCs/>
          <w:color w:val="595959" w:themeColor="text1" w:themeTint="A6"/>
          <w:sz w:val="22"/>
          <w:szCs w:val="22"/>
        </w:rPr>
        <w:lastRenderedPageBreak/>
        <w:t xml:space="preserve">PROSPETTO 2. </w:t>
      </w:r>
      <w:r w:rsidRPr="00047761">
        <w:rPr>
          <w:rFonts w:ascii="Arial Narrow" w:hAnsi="Arial Narrow" w:cs="Calibri"/>
          <w:color w:val="595959" w:themeColor="text1" w:themeTint="A6"/>
          <w:sz w:val="22"/>
          <w:szCs w:val="22"/>
        </w:rPr>
        <w:t xml:space="preserve">COMUNI CON INCREMENTO </w:t>
      </w:r>
      <w:r w:rsidR="001E252A" w:rsidRPr="00047761">
        <w:rPr>
          <w:rFonts w:ascii="Arial Narrow" w:hAnsi="Arial Narrow" w:cs="Calibri"/>
          <w:color w:val="595959" w:themeColor="text1" w:themeTint="A6"/>
          <w:sz w:val="22"/>
          <w:szCs w:val="22"/>
        </w:rPr>
        <w:t xml:space="preserve">O </w:t>
      </w:r>
      <w:r w:rsidRPr="00047761">
        <w:rPr>
          <w:rFonts w:ascii="Arial Narrow" w:hAnsi="Arial Narrow" w:cs="Calibri"/>
          <w:color w:val="595959" w:themeColor="text1" w:themeTint="A6"/>
          <w:sz w:val="22"/>
          <w:szCs w:val="22"/>
        </w:rPr>
        <w:t xml:space="preserve">DECREMENTO DI POPOLAZIONE PER CLASSE DI AMPIEZZA DEMOGRAFICA DEL COMUNE.  </w:t>
      </w:r>
      <w:r w:rsidR="00FF41FD" w:rsidRPr="00047761">
        <w:rPr>
          <w:rFonts w:ascii="Arial Narrow" w:hAnsi="Arial Narrow" w:cs="Calibri"/>
          <w:color w:val="595959" w:themeColor="text1" w:themeTint="A6"/>
          <w:sz w:val="22"/>
          <w:szCs w:val="22"/>
        </w:rPr>
        <w:t xml:space="preserve">Censimento 2020. </w:t>
      </w:r>
      <w:r w:rsidRPr="00047761">
        <w:rPr>
          <w:rFonts w:ascii="Arial Narrow" w:hAnsi="Arial Narrow" w:cs="Calibri"/>
          <w:color w:val="595959" w:themeColor="text1" w:themeTint="A6"/>
          <w:sz w:val="22"/>
          <w:szCs w:val="22"/>
        </w:rPr>
        <w:t>Valori assoluti e valori percentuali</w:t>
      </w:r>
    </w:p>
    <w:tbl>
      <w:tblPr>
        <w:tblW w:w="9600" w:type="dxa"/>
        <w:tblCellMar>
          <w:left w:w="70" w:type="dxa"/>
          <w:right w:w="70" w:type="dxa"/>
        </w:tblCellMar>
        <w:tblLook w:val="04A0" w:firstRow="1" w:lastRow="0" w:firstColumn="1" w:lastColumn="0" w:noHBand="0" w:noVBand="1"/>
      </w:tblPr>
      <w:tblGrid>
        <w:gridCol w:w="1920"/>
        <w:gridCol w:w="1300"/>
        <w:gridCol w:w="1300"/>
        <w:gridCol w:w="1300"/>
        <w:gridCol w:w="1300"/>
        <w:gridCol w:w="1120"/>
        <w:gridCol w:w="1360"/>
      </w:tblGrid>
      <w:tr w:rsidR="005B1F48" w14:paraId="77DECBCF" w14:textId="77777777" w:rsidTr="00BA7FCD">
        <w:trPr>
          <w:trHeight w:val="695"/>
        </w:trPr>
        <w:tc>
          <w:tcPr>
            <w:tcW w:w="1920" w:type="dxa"/>
            <w:tcBorders>
              <w:top w:val="single" w:sz="4" w:space="0" w:color="auto"/>
              <w:left w:val="nil"/>
              <w:bottom w:val="single" w:sz="4" w:space="0" w:color="auto"/>
              <w:right w:val="nil"/>
            </w:tcBorders>
            <w:shd w:val="clear" w:color="auto" w:fill="auto"/>
            <w:vAlign w:val="center"/>
            <w:hideMark/>
          </w:tcPr>
          <w:p w14:paraId="55838F5D" w14:textId="476BB29D" w:rsidR="005B1F48" w:rsidRDefault="005B1F48">
            <w:pPr>
              <w:rPr>
                <w:rFonts w:ascii="Arial Narrow" w:hAnsi="Arial Narrow" w:cs="Calibri"/>
                <w:b/>
                <w:bCs/>
                <w:color w:val="000000"/>
                <w:sz w:val="18"/>
                <w:szCs w:val="18"/>
              </w:rPr>
            </w:pPr>
            <w:r>
              <w:rPr>
                <w:rFonts w:ascii="Arial Narrow" w:hAnsi="Arial Narrow" w:cs="Calibri"/>
                <w:b/>
                <w:bCs/>
                <w:color w:val="000000"/>
                <w:sz w:val="18"/>
                <w:szCs w:val="18"/>
              </w:rPr>
              <w:t>CLASSE DI AMPIEZZA DEMOGRAFICA           (AL 2020)</w:t>
            </w:r>
          </w:p>
        </w:tc>
        <w:tc>
          <w:tcPr>
            <w:tcW w:w="1300" w:type="dxa"/>
            <w:tcBorders>
              <w:top w:val="single" w:sz="4" w:space="0" w:color="auto"/>
              <w:left w:val="nil"/>
              <w:bottom w:val="single" w:sz="4" w:space="0" w:color="auto"/>
              <w:right w:val="nil"/>
            </w:tcBorders>
            <w:shd w:val="clear" w:color="auto" w:fill="auto"/>
            <w:hideMark/>
          </w:tcPr>
          <w:p w14:paraId="331FC83D"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Comuni con incremento di popolazione</w:t>
            </w:r>
          </w:p>
        </w:tc>
        <w:tc>
          <w:tcPr>
            <w:tcW w:w="1300" w:type="dxa"/>
            <w:tcBorders>
              <w:top w:val="single" w:sz="4" w:space="0" w:color="auto"/>
              <w:left w:val="nil"/>
              <w:bottom w:val="single" w:sz="4" w:space="0" w:color="auto"/>
              <w:right w:val="nil"/>
            </w:tcBorders>
            <w:shd w:val="clear" w:color="auto" w:fill="auto"/>
            <w:hideMark/>
          </w:tcPr>
          <w:p w14:paraId="6551A3C0"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Popolazione residente (saldo positivo) (a) </w:t>
            </w:r>
          </w:p>
        </w:tc>
        <w:tc>
          <w:tcPr>
            <w:tcW w:w="1300" w:type="dxa"/>
            <w:tcBorders>
              <w:top w:val="single" w:sz="4" w:space="0" w:color="auto"/>
              <w:left w:val="nil"/>
              <w:bottom w:val="single" w:sz="4" w:space="0" w:color="auto"/>
              <w:right w:val="nil"/>
            </w:tcBorders>
            <w:shd w:val="clear" w:color="auto" w:fill="auto"/>
            <w:hideMark/>
          </w:tcPr>
          <w:p w14:paraId="0803E38E"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Comuni con decremento di popolazione</w:t>
            </w:r>
          </w:p>
        </w:tc>
        <w:tc>
          <w:tcPr>
            <w:tcW w:w="1300" w:type="dxa"/>
            <w:tcBorders>
              <w:top w:val="single" w:sz="4" w:space="0" w:color="auto"/>
              <w:left w:val="nil"/>
              <w:bottom w:val="single" w:sz="4" w:space="0" w:color="auto"/>
              <w:right w:val="nil"/>
            </w:tcBorders>
            <w:shd w:val="clear" w:color="auto" w:fill="auto"/>
            <w:hideMark/>
          </w:tcPr>
          <w:p w14:paraId="183D7A28"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Popolazione residente (saldo negativo) (a)</w:t>
            </w:r>
          </w:p>
        </w:tc>
        <w:tc>
          <w:tcPr>
            <w:tcW w:w="1120" w:type="dxa"/>
            <w:tcBorders>
              <w:top w:val="single" w:sz="4" w:space="0" w:color="auto"/>
              <w:left w:val="nil"/>
              <w:bottom w:val="single" w:sz="4" w:space="0" w:color="auto"/>
              <w:right w:val="nil"/>
            </w:tcBorders>
            <w:shd w:val="clear" w:color="auto" w:fill="auto"/>
            <w:hideMark/>
          </w:tcPr>
          <w:p w14:paraId="09841385"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Comuni in totale (b)</w:t>
            </w:r>
          </w:p>
        </w:tc>
        <w:tc>
          <w:tcPr>
            <w:tcW w:w="1360" w:type="dxa"/>
            <w:tcBorders>
              <w:top w:val="single" w:sz="4" w:space="0" w:color="auto"/>
              <w:left w:val="nil"/>
              <w:bottom w:val="single" w:sz="4" w:space="0" w:color="auto"/>
              <w:right w:val="nil"/>
            </w:tcBorders>
            <w:shd w:val="clear" w:color="auto" w:fill="auto"/>
            <w:hideMark/>
          </w:tcPr>
          <w:p w14:paraId="2AED97A1"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Popolazione residente (saldo complessivo) (a)</w:t>
            </w:r>
          </w:p>
        </w:tc>
      </w:tr>
      <w:tr w:rsidR="005B1F48" w14:paraId="100687CA" w14:textId="77777777" w:rsidTr="005B1F48">
        <w:trPr>
          <w:trHeight w:val="300"/>
        </w:trPr>
        <w:tc>
          <w:tcPr>
            <w:tcW w:w="9600" w:type="dxa"/>
            <w:gridSpan w:val="7"/>
            <w:tcBorders>
              <w:top w:val="nil"/>
              <w:left w:val="nil"/>
              <w:bottom w:val="single" w:sz="4" w:space="0" w:color="auto"/>
              <w:right w:val="nil"/>
            </w:tcBorders>
            <w:shd w:val="clear" w:color="auto" w:fill="auto"/>
            <w:noWrap/>
            <w:vAlign w:val="center"/>
            <w:hideMark/>
          </w:tcPr>
          <w:p w14:paraId="393DB99D" w14:textId="77777777" w:rsidR="005B1F48" w:rsidRDefault="005B1F48">
            <w:pPr>
              <w:jc w:val="center"/>
              <w:rPr>
                <w:rFonts w:ascii="Arial Narrow" w:hAnsi="Arial Narrow" w:cs="Calibri"/>
                <w:color w:val="000000"/>
                <w:sz w:val="18"/>
                <w:szCs w:val="18"/>
              </w:rPr>
            </w:pPr>
            <w:r>
              <w:rPr>
                <w:rFonts w:ascii="Arial Narrow" w:hAnsi="Arial Narrow" w:cs="Calibri"/>
                <w:color w:val="000000"/>
                <w:sz w:val="18"/>
                <w:szCs w:val="18"/>
              </w:rPr>
              <w:t>Valori assoluti</w:t>
            </w:r>
          </w:p>
        </w:tc>
      </w:tr>
      <w:tr w:rsidR="005B1F48" w14:paraId="674B444E"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65941C5C"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fino a 1.000</w:t>
            </w:r>
          </w:p>
        </w:tc>
        <w:tc>
          <w:tcPr>
            <w:tcW w:w="1300" w:type="dxa"/>
            <w:tcBorders>
              <w:top w:val="nil"/>
              <w:left w:val="nil"/>
              <w:bottom w:val="single" w:sz="4" w:space="0" w:color="auto"/>
              <w:right w:val="nil"/>
            </w:tcBorders>
            <w:shd w:val="clear" w:color="000000" w:fill="D9D9D9"/>
            <w:noWrap/>
            <w:vAlign w:val="center"/>
            <w:hideMark/>
          </w:tcPr>
          <w:p w14:paraId="7E10D64D"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w:t>
            </w:r>
          </w:p>
        </w:tc>
        <w:tc>
          <w:tcPr>
            <w:tcW w:w="1300" w:type="dxa"/>
            <w:tcBorders>
              <w:top w:val="nil"/>
              <w:left w:val="nil"/>
              <w:bottom w:val="single" w:sz="4" w:space="0" w:color="auto"/>
              <w:right w:val="nil"/>
            </w:tcBorders>
            <w:shd w:val="clear" w:color="000000" w:fill="FFFFFF"/>
            <w:noWrap/>
            <w:vAlign w:val="center"/>
            <w:hideMark/>
          </w:tcPr>
          <w:p w14:paraId="66FA42DA"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w:t>
            </w:r>
          </w:p>
        </w:tc>
        <w:tc>
          <w:tcPr>
            <w:tcW w:w="1300" w:type="dxa"/>
            <w:tcBorders>
              <w:top w:val="nil"/>
              <w:left w:val="nil"/>
              <w:bottom w:val="single" w:sz="4" w:space="0" w:color="auto"/>
              <w:right w:val="nil"/>
            </w:tcBorders>
            <w:shd w:val="clear" w:color="000000" w:fill="D9D9D9"/>
            <w:noWrap/>
            <w:vAlign w:val="center"/>
            <w:hideMark/>
          </w:tcPr>
          <w:p w14:paraId="29E3A134"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1300" w:type="dxa"/>
            <w:tcBorders>
              <w:top w:val="nil"/>
              <w:left w:val="nil"/>
              <w:bottom w:val="single" w:sz="4" w:space="0" w:color="auto"/>
              <w:right w:val="nil"/>
            </w:tcBorders>
            <w:shd w:val="clear" w:color="000000" w:fill="FFFFFF"/>
            <w:noWrap/>
            <w:vAlign w:val="center"/>
            <w:hideMark/>
          </w:tcPr>
          <w:p w14:paraId="1CAC12F9"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-393</w:t>
            </w:r>
          </w:p>
        </w:tc>
        <w:tc>
          <w:tcPr>
            <w:tcW w:w="1120" w:type="dxa"/>
            <w:tcBorders>
              <w:top w:val="nil"/>
              <w:left w:val="nil"/>
              <w:bottom w:val="single" w:sz="4" w:space="0" w:color="auto"/>
              <w:right w:val="nil"/>
            </w:tcBorders>
            <w:shd w:val="clear" w:color="000000" w:fill="D9D9D9"/>
            <w:noWrap/>
            <w:vAlign w:val="center"/>
            <w:hideMark/>
          </w:tcPr>
          <w:p w14:paraId="10608E1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32</w:t>
            </w:r>
          </w:p>
        </w:tc>
        <w:tc>
          <w:tcPr>
            <w:tcW w:w="1360" w:type="dxa"/>
            <w:tcBorders>
              <w:top w:val="nil"/>
              <w:left w:val="nil"/>
              <w:bottom w:val="single" w:sz="4" w:space="0" w:color="auto"/>
              <w:right w:val="nil"/>
            </w:tcBorders>
            <w:shd w:val="clear" w:color="auto" w:fill="auto"/>
            <w:noWrap/>
            <w:vAlign w:val="center"/>
            <w:hideMark/>
          </w:tcPr>
          <w:p w14:paraId="63379B3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-393</w:t>
            </w:r>
          </w:p>
        </w:tc>
      </w:tr>
      <w:tr w:rsidR="005B1F48" w14:paraId="1CCA3F21"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4D8859AC"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1.001-5.000</w:t>
            </w:r>
          </w:p>
        </w:tc>
        <w:tc>
          <w:tcPr>
            <w:tcW w:w="1300" w:type="dxa"/>
            <w:tcBorders>
              <w:top w:val="nil"/>
              <w:left w:val="nil"/>
              <w:bottom w:val="single" w:sz="4" w:space="0" w:color="auto"/>
              <w:right w:val="nil"/>
            </w:tcBorders>
            <w:shd w:val="clear" w:color="000000" w:fill="D9D9D9"/>
            <w:noWrap/>
            <w:vAlign w:val="center"/>
            <w:hideMark/>
          </w:tcPr>
          <w:p w14:paraId="02E50690"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w:t>
            </w:r>
          </w:p>
        </w:tc>
        <w:tc>
          <w:tcPr>
            <w:tcW w:w="1300" w:type="dxa"/>
            <w:tcBorders>
              <w:top w:val="nil"/>
              <w:left w:val="nil"/>
              <w:bottom w:val="single" w:sz="4" w:space="0" w:color="auto"/>
              <w:right w:val="nil"/>
            </w:tcBorders>
            <w:shd w:val="clear" w:color="000000" w:fill="FFFFFF"/>
            <w:noWrap/>
            <w:vAlign w:val="center"/>
            <w:hideMark/>
          </w:tcPr>
          <w:p w14:paraId="27396515"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7</w:t>
            </w:r>
          </w:p>
        </w:tc>
        <w:tc>
          <w:tcPr>
            <w:tcW w:w="1300" w:type="dxa"/>
            <w:tcBorders>
              <w:top w:val="nil"/>
              <w:left w:val="nil"/>
              <w:bottom w:val="single" w:sz="4" w:space="0" w:color="auto"/>
              <w:right w:val="nil"/>
            </w:tcBorders>
            <w:shd w:val="clear" w:color="000000" w:fill="D9D9D9"/>
            <w:noWrap/>
            <w:vAlign w:val="center"/>
            <w:hideMark/>
          </w:tcPr>
          <w:p w14:paraId="5FE794E5"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74</w:t>
            </w:r>
          </w:p>
        </w:tc>
        <w:tc>
          <w:tcPr>
            <w:tcW w:w="1300" w:type="dxa"/>
            <w:tcBorders>
              <w:top w:val="nil"/>
              <w:left w:val="nil"/>
              <w:bottom w:val="single" w:sz="4" w:space="0" w:color="auto"/>
              <w:right w:val="nil"/>
            </w:tcBorders>
            <w:shd w:val="clear" w:color="000000" w:fill="FFFFFF"/>
            <w:noWrap/>
            <w:vAlign w:val="center"/>
            <w:hideMark/>
          </w:tcPr>
          <w:p w14:paraId="524803D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-4.365</w:t>
            </w:r>
          </w:p>
        </w:tc>
        <w:tc>
          <w:tcPr>
            <w:tcW w:w="1120" w:type="dxa"/>
            <w:tcBorders>
              <w:top w:val="nil"/>
              <w:left w:val="nil"/>
              <w:bottom w:val="single" w:sz="4" w:space="0" w:color="auto"/>
              <w:right w:val="nil"/>
            </w:tcBorders>
            <w:shd w:val="clear" w:color="000000" w:fill="D9D9D9"/>
            <w:noWrap/>
            <w:vAlign w:val="center"/>
            <w:hideMark/>
          </w:tcPr>
          <w:p w14:paraId="2FC8F3A0"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75</w:t>
            </w:r>
          </w:p>
        </w:tc>
        <w:tc>
          <w:tcPr>
            <w:tcW w:w="1360" w:type="dxa"/>
            <w:tcBorders>
              <w:top w:val="nil"/>
              <w:left w:val="nil"/>
              <w:bottom w:val="single" w:sz="4" w:space="0" w:color="auto"/>
              <w:right w:val="nil"/>
            </w:tcBorders>
            <w:shd w:val="clear" w:color="auto" w:fill="auto"/>
            <w:noWrap/>
            <w:vAlign w:val="center"/>
            <w:hideMark/>
          </w:tcPr>
          <w:p w14:paraId="4B371FC2"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-4.358</w:t>
            </w:r>
          </w:p>
        </w:tc>
      </w:tr>
      <w:tr w:rsidR="005B1F48" w14:paraId="7E7A1D13"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15E48CD0"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5.001-10.000</w:t>
            </w:r>
          </w:p>
        </w:tc>
        <w:tc>
          <w:tcPr>
            <w:tcW w:w="1300" w:type="dxa"/>
            <w:tcBorders>
              <w:top w:val="nil"/>
              <w:left w:val="nil"/>
              <w:bottom w:val="single" w:sz="4" w:space="0" w:color="auto"/>
              <w:right w:val="nil"/>
            </w:tcBorders>
            <w:shd w:val="clear" w:color="000000" w:fill="D9D9D9"/>
            <w:noWrap/>
            <w:vAlign w:val="center"/>
            <w:hideMark/>
          </w:tcPr>
          <w:p w14:paraId="7BFAC76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w:t>
            </w:r>
          </w:p>
        </w:tc>
        <w:tc>
          <w:tcPr>
            <w:tcW w:w="1300" w:type="dxa"/>
            <w:tcBorders>
              <w:top w:val="nil"/>
              <w:left w:val="nil"/>
              <w:bottom w:val="single" w:sz="4" w:space="0" w:color="auto"/>
              <w:right w:val="nil"/>
            </w:tcBorders>
            <w:shd w:val="clear" w:color="000000" w:fill="FFFFFF"/>
            <w:noWrap/>
            <w:vAlign w:val="center"/>
            <w:hideMark/>
          </w:tcPr>
          <w:p w14:paraId="5EC08AF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208</w:t>
            </w:r>
          </w:p>
        </w:tc>
        <w:tc>
          <w:tcPr>
            <w:tcW w:w="1300" w:type="dxa"/>
            <w:tcBorders>
              <w:top w:val="nil"/>
              <w:left w:val="nil"/>
              <w:bottom w:val="single" w:sz="4" w:space="0" w:color="auto"/>
              <w:right w:val="nil"/>
            </w:tcBorders>
            <w:shd w:val="clear" w:color="000000" w:fill="D9D9D9"/>
            <w:noWrap/>
            <w:vAlign w:val="center"/>
            <w:hideMark/>
          </w:tcPr>
          <w:p w14:paraId="1BA009C3"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11</w:t>
            </w:r>
          </w:p>
        </w:tc>
        <w:tc>
          <w:tcPr>
            <w:tcW w:w="1300" w:type="dxa"/>
            <w:tcBorders>
              <w:top w:val="nil"/>
              <w:left w:val="nil"/>
              <w:bottom w:val="single" w:sz="4" w:space="0" w:color="auto"/>
              <w:right w:val="nil"/>
            </w:tcBorders>
            <w:shd w:val="clear" w:color="000000" w:fill="FFFFFF"/>
            <w:noWrap/>
            <w:vAlign w:val="center"/>
            <w:hideMark/>
          </w:tcPr>
          <w:p w14:paraId="65A3441F"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-1.219</w:t>
            </w:r>
          </w:p>
        </w:tc>
        <w:tc>
          <w:tcPr>
            <w:tcW w:w="1120" w:type="dxa"/>
            <w:tcBorders>
              <w:top w:val="nil"/>
              <w:left w:val="nil"/>
              <w:bottom w:val="single" w:sz="4" w:space="0" w:color="auto"/>
              <w:right w:val="nil"/>
            </w:tcBorders>
            <w:shd w:val="clear" w:color="000000" w:fill="D9D9D9"/>
            <w:noWrap/>
            <w:vAlign w:val="center"/>
            <w:hideMark/>
          </w:tcPr>
          <w:p w14:paraId="437941A3"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13</w:t>
            </w:r>
          </w:p>
        </w:tc>
        <w:tc>
          <w:tcPr>
            <w:tcW w:w="1360" w:type="dxa"/>
            <w:tcBorders>
              <w:top w:val="nil"/>
              <w:left w:val="nil"/>
              <w:bottom w:val="single" w:sz="4" w:space="0" w:color="auto"/>
              <w:right w:val="nil"/>
            </w:tcBorders>
            <w:shd w:val="clear" w:color="auto" w:fill="auto"/>
            <w:noWrap/>
            <w:vAlign w:val="center"/>
            <w:hideMark/>
          </w:tcPr>
          <w:p w14:paraId="1DD7E50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-1.011</w:t>
            </w:r>
          </w:p>
        </w:tc>
      </w:tr>
      <w:tr w:rsidR="005B1F48" w14:paraId="2D5DE201"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2DBA5272"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10.001-20.000</w:t>
            </w:r>
          </w:p>
        </w:tc>
        <w:tc>
          <w:tcPr>
            <w:tcW w:w="1300" w:type="dxa"/>
            <w:tcBorders>
              <w:top w:val="nil"/>
              <w:left w:val="nil"/>
              <w:bottom w:val="single" w:sz="4" w:space="0" w:color="auto"/>
              <w:right w:val="nil"/>
            </w:tcBorders>
            <w:shd w:val="clear" w:color="000000" w:fill="D9D9D9"/>
            <w:noWrap/>
            <w:vAlign w:val="center"/>
            <w:hideMark/>
          </w:tcPr>
          <w:p w14:paraId="5FF9B2A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w:t>
            </w:r>
          </w:p>
        </w:tc>
        <w:tc>
          <w:tcPr>
            <w:tcW w:w="1300" w:type="dxa"/>
            <w:tcBorders>
              <w:top w:val="nil"/>
              <w:left w:val="nil"/>
              <w:bottom w:val="single" w:sz="4" w:space="0" w:color="auto"/>
              <w:right w:val="nil"/>
            </w:tcBorders>
            <w:shd w:val="clear" w:color="000000" w:fill="FFFFFF"/>
            <w:noWrap/>
            <w:vAlign w:val="center"/>
            <w:hideMark/>
          </w:tcPr>
          <w:p w14:paraId="0947CFAB"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117</w:t>
            </w:r>
          </w:p>
        </w:tc>
        <w:tc>
          <w:tcPr>
            <w:tcW w:w="1300" w:type="dxa"/>
            <w:tcBorders>
              <w:top w:val="nil"/>
              <w:left w:val="nil"/>
              <w:bottom w:val="single" w:sz="4" w:space="0" w:color="auto"/>
              <w:right w:val="nil"/>
            </w:tcBorders>
            <w:shd w:val="clear" w:color="000000" w:fill="D9D9D9"/>
            <w:noWrap/>
            <w:vAlign w:val="center"/>
            <w:hideMark/>
          </w:tcPr>
          <w:p w14:paraId="22F6978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8</w:t>
            </w:r>
          </w:p>
        </w:tc>
        <w:tc>
          <w:tcPr>
            <w:tcW w:w="1300" w:type="dxa"/>
            <w:tcBorders>
              <w:top w:val="nil"/>
              <w:left w:val="nil"/>
              <w:bottom w:val="single" w:sz="4" w:space="0" w:color="auto"/>
              <w:right w:val="nil"/>
            </w:tcBorders>
            <w:shd w:val="clear" w:color="000000" w:fill="FFFFFF"/>
            <w:noWrap/>
            <w:vAlign w:val="center"/>
            <w:hideMark/>
          </w:tcPr>
          <w:p w14:paraId="6920100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-770</w:t>
            </w:r>
          </w:p>
        </w:tc>
        <w:tc>
          <w:tcPr>
            <w:tcW w:w="1120" w:type="dxa"/>
            <w:tcBorders>
              <w:top w:val="nil"/>
              <w:left w:val="nil"/>
              <w:bottom w:val="single" w:sz="4" w:space="0" w:color="auto"/>
              <w:right w:val="nil"/>
            </w:tcBorders>
            <w:shd w:val="clear" w:color="000000" w:fill="D9D9D9"/>
            <w:noWrap/>
            <w:vAlign w:val="center"/>
            <w:hideMark/>
          </w:tcPr>
          <w:p w14:paraId="0E13AB4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9</w:t>
            </w:r>
          </w:p>
        </w:tc>
        <w:tc>
          <w:tcPr>
            <w:tcW w:w="1360" w:type="dxa"/>
            <w:tcBorders>
              <w:top w:val="nil"/>
              <w:left w:val="nil"/>
              <w:bottom w:val="single" w:sz="4" w:space="0" w:color="auto"/>
              <w:right w:val="nil"/>
            </w:tcBorders>
            <w:shd w:val="clear" w:color="auto" w:fill="auto"/>
            <w:noWrap/>
            <w:vAlign w:val="center"/>
            <w:hideMark/>
          </w:tcPr>
          <w:p w14:paraId="239F326A"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-653</w:t>
            </w:r>
          </w:p>
        </w:tc>
      </w:tr>
      <w:tr w:rsidR="005B1F48" w14:paraId="0758AA20"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05B3FD82"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oltre 50.000</w:t>
            </w:r>
          </w:p>
        </w:tc>
        <w:tc>
          <w:tcPr>
            <w:tcW w:w="1300" w:type="dxa"/>
            <w:tcBorders>
              <w:top w:val="nil"/>
              <w:left w:val="nil"/>
              <w:bottom w:val="single" w:sz="4" w:space="0" w:color="auto"/>
              <w:right w:val="nil"/>
            </w:tcBorders>
            <w:shd w:val="clear" w:color="000000" w:fill="D9D9D9"/>
            <w:noWrap/>
            <w:vAlign w:val="center"/>
            <w:hideMark/>
          </w:tcPr>
          <w:p w14:paraId="6511201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w:t>
            </w:r>
          </w:p>
        </w:tc>
        <w:tc>
          <w:tcPr>
            <w:tcW w:w="1300" w:type="dxa"/>
            <w:tcBorders>
              <w:top w:val="nil"/>
              <w:left w:val="nil"/>
              <w:bottom w:val="single" w:sz="4" w:space="0" w:color="auto"/>
              <w:right w:val="nil"/>
            </w:tcBorders>
            <w:shd w:val="clear" w:color="000000" w:fill="FFFFFF"/>
            <w:noWrap/>
            <w:vAlign w:val="center"/>
            <w:hideMark/>
          </w:tcPr>
          <w:p w14:paraId="5D091794"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w:t>
            </w:r>
          </w:p>
        </w:tc>
        <w:tc>
          <w:tcPr>
            <w:tcW w:w="1300" w:type="dxa"/>
            <w:tcBorders>
              <w:top w:val="nil"/>
              <w:left w:val="nil"/>
              <w:bottom w:val="single" w:sz="4" w:space="0" w:color="auto"/>
              <w:right w:val="nil"/>
            </w:tcBorders>
            <w:shd w:val="clear" w:color="000000" w:fill="D9D9D9"/>
            <w:noWrap/>
            <w:vAlign w:val="center"/>
            <w:hideMark/>
          </w:tcPr>
          <w:p w14:paraId="40DA60F5"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w:t>
            </w:r>
          </w:p>
        </w:tc>
        <w:tc>
          <w:tcPr>
            <w:tcW w:w="1300" w:type="dxa"/>
            <w:tcBorders>
              <w:top w:val="nil"/>
              <w:left w:val="nil"/>
              <w:bottom w:val="single" w:sz="4" w:space="0" w:color="auto"/>
              <w:right w:val="nil"/>
            </w:tcBorders>
            <w:shd w:val="clear" w:color="000000" w:fill="FFFFFF"/>
            <w:noWrap/>
            <w:vAlign w:val="center"/>
            <w:hideMark/>
          </w:tcPr>
          <w:p w14:paraId="14C668D4"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-1.709</w:t>
            </w:r>
          </w:p>
        </w:tc>
        <w:tc>
          <w:tcPr>
            <w:tcW w:w="1120" w:type="dxa"/>
            <w:tcBorders>
              <w:top w:val="nil"/>
              <w:left w:val="nil"/>
              <w:bottom w:val="single" w:sz="4" w:space="0" w:color="auto"/>
              <w:right w:val="nil"/>
            </w:tcBorders>
            <w:shd w:val="clear" w:color="000000" w:fill="D9D9D9"/>
            <w:noWrap/>
            <w:vAlign w:val="center"/>
            <w:hideMark/>
          </w:tcPr>
          <w:p w14:paraId="1AB04DFB"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w:t>
            </w:r>
          </w:p>
        </w:tc>
        <w:tc>
          <w:tcPr>
            <w:tcW w:w="1360" w:type="dxa"/>
            <w:tcBorders>
              <w:top w:val="nil"/>
              <w:left w:val="nil"/>
              <w:bottom w:val="single" w:sz="4" w:space="0" w:color="auto"/>
              <w:right w:val="nil"/>
            </w:tcBorders>
            <w:shd w:val="clear" w:color="auto" w:fill="auto"/>
            <w:noWrap/>
            <w:vAlign w:val="center"/>
            <w:hideMark/>
          </w:tcPr>
          <w:p w14:paraId="78AC5C2A"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-1.709</w:t>
            </w:r>
          </w:p>
        </w:tc>
      </w:tr>
      <w:tr w:rsidR="005B1F48" w14:paraId="42660470" w14:textId="77777777" w:rsidTr="005B1F48">
        <w:trPr>
          <w:trHeight w:val="300"/>
        </w:trPr>
        <w:tc>
          <w:tcPr>
            <w:tcW w:w="1920" w:type="dxa"/>
            <w:tcBorders>
              <w:top w:val="single" w:sz="4" w:space="0" w:color="auto"/>
              <w:left w:val="nil"/>
              <w:bottom w:val="single" w:sz="4" w:space="0" w:color="auto"/>
              <w:right w:val="nil"/>
            </w:tcBorders>
            <w:shd w:val="clear" w:color="000000" w:fill="C9321F"/>
            <w:noWrap/>
            <w:vAlign w:val="center"/>
            <w:hideMark/>
          </w:tcPr>
          <w:p w14:paraId="6F8352A2" w14:textId="77777777" w:rsidR="005B1F48" w:rsidRDefault="005B1F48">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300" w:type="dxa"/>
            <w:tcBorders>
              <w:top w:val="single" w:sz="4" w:space="0" w:color="auto"/>
              <w:left w:val="nil"/>
              <w:bottom w:val="single" w:sz="4" w:space="0" w:color="auto"/>
              <w:right w:val="nil"/>
            </w:tcBorders>
            <w:shd w:val="clear" w:color="000000" w:fill="C9321F"/>
            <w:noWrap/>
            <w:vAlign w:val="center"/>
            <w:hideMark/>
          </w:tcPr>
          <w:p w14:paraId="1C05F5DB"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5</w:t>
            </w:r>
          </w:p>
        </w:tc>
        <w:tc>
          <w:tcPr>
            <w:tcW w:w="1300" w:type="dxa"/>
            <w:tcBorders>
              <w:top w:val="single" w:sz="4" w:space="0" w:color="auto"/>
              <w:left w:val="nil"/>
              <w:bottom w:val="single" w:sz="4" w:space="0" w:color="auto"/>
              <w:right w:val="nil"/>
            </w:tcBorders>
            <w:shd w:val="clear" w:color="000000" w:fill="C9321F"/>
            <w:noWrap/>
            <w:vAlign w:val="center"/>
            <w:hideMark/>
          </w:tcPr>
          <w:p w14:paraId="2BB5A6B4"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332</w:t>
            </w:r>
          </w:p>
        </w:tc>
        <w:tc>
          <w:tcPr>
            <w:tcW w:w="1300" w:type="dxa"/>
            <w:tcBorders>
              <w:top w:val="single" w:sz="4" w:space="0" w:color="auto"/>
              <w:left w:val="nil"/>
              <w:bottom w:val="single" w:sz="4" w:space="0" w:color="auto"/>
              <w:right w:val="nil"/>
            </w:tcBorders>
            <w:shd w:val="clear" w:color="000000" w:fill="C9321F"/>
            <w:noWrap/>
            <w:vAlign w:val="center"/>
            <w:hideMark/>
          </w:tcPr>
          <w:p w14:paraId="72C9208D"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126</w:t>
            </w:r>
          </w:p>
        </w:tc>
        <w:tc>
          <w:tcPr>
            <w:tcW w:w="1300" w:type="dxa"/>
            <w:tcBorders>
              <w:top w:val="single" w:sz="4" w:space="0" w:color="auto"/>
              <w:left w:val="nil"/>
              <w:bottom w:val="single" w:sz="4" w:space="0" w:color="auto"/>
              <w:right w:val="nil"/>
            </w:tcBorders>
            <w:shd w:val="clear" w:color="000000" w:fill="C9321F"/>
            <w:noWrap/>
            <w:vAlign w:val="center"/>
            <w:hideMark/>
          </w:tcPr>
          <w:p w14:paraId="28F2C745"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-8.456</w:t>
            </w:r>
          </w:p>
        </w:tc>
        <w:tc>
          <w:tcPr>
            <w:tcW w:w="1120" w:type="dxa"/>
            <w:tcBorders>
              <w:top w:val="single" w:sz="4" w:space="0" w:color="auto"/>
              <w:left w:val="nil"/>
              <w:bottom w:val="single" w:sz="4" w:space="0" w:color="auto"/>
              <w:right w:val="nil"/>
            </w:tcBorders>
            <w:shd w:val="clear" w:color="000000" w:fill="C9321F"/>
            <w:noWrap/>
            <w:vAlign w:val="center"/>
            <w:hideMark/>
          </w:tcPr>
          <w:p w14:paraId="04D37A43"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131</w:t>
            </w:r>
          </w:p>
        </w:tc>
        <w:tc>
          <w:tcPr>
            <w:tcW w:w="1360" w:type="dxa"/>
            <w:tcBorders>
              <w:top w:val="single" w:sz="4" w:space="0" w:color="auto"/>
              <w:left w:val="nil"/>
              <w:bottom w:val="single" w:sz="4" w:space="0" w:color="auto"/>
              <w:right w:val="nil"/>
            </w:tcBorders>
            <w:shd w:val="clear" w:color="000000" w:fill="C9321F"/>
            <w:noWrap/>
            <w:vAlign w:val="center"/>
            <w:hideMark/>
          </w:tcPr>
          <w:p w14:paraId="400607CC"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-8.124</w:t>
            </w:r>
          </w:p>
        </w:tc>
      </w:tr>
      <w:tr w:rsidR="005B1F48" w14:paraId="47044CFC" w14:textId="77777777" w:rsidTr="005B1F48">
        <w:trPr>
          <w:trHeight w:val="300"/>
        </w:trPr>
        <w:tc>
          <w:tcPr>
            <w:tcW w:w="9600" w:type="dxa"/>
            <w:gridSpan w:val="7"/>
            <w:tcBorders>
              <w:top w:val="single" w:sz="4" w:space="0" w:color="auto"/>
              <w:left w:val="nil"/>
              <w:bottom w:val="single" w:sz="4" w:space="0" w:color="auto"/>
              <w:right w:val="nil"/>
            </w:tcBorders>
            <w:shd w:val="clear" w:color="auto" w:fill="auto"/>
            <w:noWrap/>
            <w:vAlign w:val="center"/>
            <w:hideMark/>
          </w:tcPr>
          <w:p w14:paraId="5EC502AB" w14:textId="77777777" w:rsidR="005B1F48" w:rsidRDefault="005B1F48">
            <w:pPr>
              <w:jc w:val="center"/>
              <w:rPr>
                <w:rFonts w:ascii="Arial Narrow" w:hAnsi="Arial Narrow" w:cs="Calibri"/>
                <w:color w:val="000000"/>
                <w:sz w:val="18"/>
                <w:szCs w:val="18"/>
              </w:rPr>
            </w:pPr>
            <w:r>
              <w:rPr>
                <w:rFonts w:ascii="Arial Narrow" w:hAnsi="Arial Narrow" w:cs="Calibri"/>
                <w:color w:val="000000"/>
                <w:sz w:val="18"/>
                <w:szCs w:val="18"/>
              </w:rPr>
              <w:t>Valori percentuali</w:t>
            </w:r>
          </w:p>
        </w:tc>
      </w:tr>
      <w:tr w:rsidR="005B1F48" w14:paraId="4743B27B"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0B0A4AD9"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fino a 1.000</w:t>
            </w:r>
          </w:p>
        </w:tc>
        <w:tc>
          <w:tcPr>
            <w:tcW w:w="1300" w:type="dxa"/>
            <w:tcBorders>
              <w:top w:val="nil"/>
              <w:left w:val="nil"/>
              <w:bottom w:val="single" w:sz="4" w:space="0" w:color="auto"/>
              <w:right w:val="nil"/>
            </w:tcBorders>
            <w:shd w:val="clear" w:color="000000" w:fill="D9D9D9"/>
            <w:noWrap/>
            <w:vAlign w:val="center"/>
            <w:hideMark/>
          </w:tcPr>
          <w:p w14:paraId="24E61E81"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1300" w:type="dxa"/>
            <w:tcBorders>
              <w:top w:val="nil"/>
              <w:left w:val="nil"/>
              <w:bottom w:val="single" w:sz="4" w:space="0" w:color="auto"/>
              <w:right w:val="nil"/>
            </w:tcBorders>
            <w:shd w:val="clear" w:color="000000" w:fill="FFFFFF"/>
            <w:noWrap/>
            <w:vAlign w:val="center"/>
            <w:hideMark/>
          </w:tcPr>
          <w:p w14:paraId="2B2D1321"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0,0</w:t>
            </w:r>
          </w:p>
        </w:tc>
        <w:tc>
          <w:tcPr>
            <w:tcW w:w="1300" w:type="dxa"/>
            <w:tcBorders>
              <w:top w:val="nil"/>
              <w:left w:val="nil"/>
              <w:bottom w:val="single" w:sz="4" w:space="0" w:color="auto"/>
              <w:right w:val="nil"/>
            </w:tcBorders>
            <w:shd w:val="clear" w:color="000000" w:fill="D9D9D9"/>
            <w:noWrap/>
            <w:vAlign w:val="center"/>
            <w:hideMark/>
          </w:tcPr>
          <w:p w14:paraId="7B43B1C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96,9</w:t>
            </w:r>
          </w:p>
        </w:tc>
        <w:tc>
          <w:tcPr>
            <w:tcW w:w="1300" w:type="dxa"/>
            <w:tcBorders>
              <w:top w:val="nil"/>
              <w:left w:val="nil"/>
              <w:bottom w:val="single" w:sz="4" w:space="0" w:color="auto"/>
              <w:right w:val="nil"/>
            </w:tcBorders>
            <w:shd w:val="clear" w:color="000000" w:fill="FFFFFF"/>
            <w:noWrap/>
            <w:vAlign w:val="center"/>
            <w:hideMark/>
          </w:tcPr>
          <w:p w14:paraId="6F08027F"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-1,8</w:t>
            </w:r>
          </w:p>
        </w:tc>
        <w:tc>
          <w:tcPr>
            <w:tcW w:w="1120" w:type="dxa"/>
            <w:tcBorders>
              <w:top w:val="nil"/>
              <w:left w:val="nil"/>
              <w:bottom w:val="single" w:sz="4" w:space="0" w:color="auto"/>
              <w:right w:val="nil"/>
            </w:tcBorders>
            <w:shd w:val="clear" w:color="000000" w:fill="D9D9D9"/>
            <w:noWrap/>
            <w:vAlign w:val="center"/>
            <w:hideMark/>
          </w:tcPr>
          <w:p w14:paraId="2154AED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24,4</w:t>
            </w:r>
          </w:p>
        </w:tc>
        <w:tc>
          <w:tcPr>
            <w:tcW w:w="1360" w:type="dxa"/>
            <w:tcBorders>
              <w:top w:val="nil"/>
              <w:left w:val="nil"/>
              <w:bottom w:val="single" w:sz="4" w:space="0" w:color="auto"/>
              <w:right w:val="nil"/>
            </w:tcBorders>
            <w:shd w:val="clear" w:color="000000" w:fill="FFFFFF"/>
            <w:noWrap/>
            <w:vAlign w:val="center"/>
            <w:hideMark/>
          </w:tcPr>
          <w:p w14:paraId="48C4F6FA"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-1,8</w:t>
            </w:r>
          </w:p>
        </w:tc>
      </w:tr>
      <w:tr w:rsidR="005B1F48" w14:paraId="653CFC66"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0B22F479"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1.001-5.000</w:t>
            </w:r>
          </w:p>
        </w:tc>
        <w:tc>
          <w:tcPr>
            <w:tcW w:w="1300" w:type="dxa"/>
            <w:tcBorders>
              <w:top w:val="nil"/>
              <w:left w:val="nil"/>
              <w:bottom w:val="single" w:sz="4" w:space="0" w:color="auto"/>
              <w:right w:val="nil"/>
            </w:tcBorders>
            <w:shd w:val="clear" w:color="000000" w:fill="D9D9D9"/>
            <w:noWrap/>
            <w:vAlign w:val="center"/>
            <w:hideMark/>
          </w:tcPr>
          <w:p w14:paraId="57098CFD"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1,3</w:t>
            </w:r>
          </w:p>
        </w:tc>
        <w:tc>
          <w:tcPr>
            <w:tcW w:w="1300" w:type="dxa"/>
            <w:tcBorders>
              <w:top w:val="nil"/>
              <w:left w:val="nil"/>
              <w:bottom w:val="single" w:sz="4" w:space="0" w:color="auto"/>
              <w:right w:val="nil"/>
            </w:tcBorders>
            <w:shd w:val="clear" w:color="000000" w:fill="FFFFFF"/>
            <w:noWrap/>
            <w:vAlign w:val="center"/>
            <w:hideMark/>
          </w:tcPr>
          <w:p w14:paraId="2472A73E"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0,0</w:t>
            </w:r>
          </w:p>
        </w:tc>
        <w:tc>
          <w:tcPr>
            <w:tcW w:w="1300" w:type="dxa"/>
            <w:tcBorders>
              <w:top w:val="nil"/>
              <w:left w:val="nil"/>
              <w:bottom w:val="single" w:sz="4" w:space="0" w:color="auto"/>
              <w:right w:val="nil"/>
            </w:tcBorders>
            <w:shd w:val="clear" w:color="000000" w:fill="D9D9D9"/>
            <w:noWrap/>
            <w:vAlign w:val="center"/>
            <w:hideMark/>
          </w:tcPr>
          <w:p w14:paraId="5D86CD7D"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98,7</w:t>
            </w:r>
          </w:p>
        </w:tc>
        <w:tc>
          <w:tcPr>
            <w:tcW w:w="1300" w:type="dxa"/>
            <w:tcBorders>
              <w:top w:val="nil"/>
              <w:left w:val="nil"/>
              <w:bottom w:val="single" w:sz="4" w:space="0" w:color="auto"/>
              <w:right w:val="nil"/>
            </w:tcBorders>
            <w:shd w:val="clear" w:color="000000" w:fill="FFFFFF"/>
            <w:noWrap/>
            <w:vAlign w:val="center"/>
            <w:hideMark/>
          </w:tcPr>
          <w:p w14:paraId="178617B1"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1120" w:type="dxa"/>
            <w:tcBorders>
              <w:top w:val="nil"/>
              <w:left w:val="nil"/>
              <w:bottom w:val="single" w:sz="4" w:space="0" w:color="auto"/>
              <w:right w:val="nil"/>
            </w:tcBorders>
            <w:shd w:val="clear" w:color="000000" w:fill="D9D9D9"/>
            <w:noWrap/>
            <w:vAlign w:val="center"/>
            <w:hideMark/>
          </w:tcPr>
          <w:p w14:paraId="0E47AEA1"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57,3</w:t>
            </w:r>
          </w:p>
        </w:tc>
        <w:tc>
          <w:tcPr>
            <w:tcW w:w="1360" w:type="dxa"/>
            <w:tcBorders>
              <w:top w:val="nil"/>
              <w:left w:val="nil"/>
              <w:bottom w:val="single" w:sz="4" w:space="0" w:color="auto"/>
              <w:right w:val="nil"/>
            </w:tcBorders>
            <w:shd w:val="clear" w:color="000000" w:fill="FFFFFF"/>
            <w:noWrap/>
            <w:vAlign w:val="center"/>
            <w:hideMark/>
          </w:tcPr>
          <w:p w14:paraId="6F031B5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-2,3</w:t>
            </w:r>
          </w:p>
        </w:tc>
      </w:tr>
      <w:tr w:rsidR="005B1F48" w14:paraId="2AC85200"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6FABB197"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5.001-10.000</w:t>
            </w:r>
          </w:p>
        </w:tc>
        <w:tc>
          <w:tcPr>
            <w:tcW w:w="1300" w:type="dxa"/>
            <w:tcBorders>
              <w:top w:val="nil"/>
              <w:left w:val="nil"/>
              <w:bottom w:val="single" w:sz="4" w:space="0" w:color="auto"/>
              <w:right w:val="nil"/>
            </w:tcBorders>
            <w:shd w:val="clear" w:color="000000" w:fill="D9D9D9"/>
            <w:noWrap/>
            <w:vAlign w:val="center"/>
            <w:hideMark/>
          </w:tcPr>
          <w:p w14:paraId="28C8D43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15,4</w:t>
            </w:r>
          </w:p>
        </w:tc>
        <w:tc>
          <w:tcPr>
            <w:tcW w:w="1300" w:type="dxa"/>
            <w:tcBorders>
              <w:top w:val="nil"/>
              <w:left w:val="nil"/>
              <w:bottom w:val="single" w:sz="4" w:space="0" w:color="auto"/>
              <w:right w:val="nil"/>
            </w:tcBorders>
            <w:shd w:val="clear" w:color="000000" w:fill="FFFFFF"/>
            <w:noWrap/>
            <w:vAlign w:val="center"/>
            <w:hideMark/>
          </w:tcPr>
          <w:p w14:paraId="3B81D3E4"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1300" w:type="dxa"/>
            <w:tcBorders>
              <w:top w:val="nil"/>
              <w:left w:val="nil"/>
              <w:bottom w:val="single" w:sz="4" w:space="0" w:color="auto"/>
              <w:right w:val="nil"/>
            </w:tcBorders>
            <w:shd w:val="clear" w:color="000000" w:fill="D9D9D9"/>
            <w:noWrap/>
            <w:vAlign w:val="center"/>
            <w:hideMark/>
          </w:tcPr>
          <w:p w14:paraId="7EAA951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84,6</w:t>
            </w:r>
          </w:p>
        </w:tc>
        <w:tc>
          <w:tcPr>
            <w:tcW w:w="1300" w:type="dxa"/>
            <w:tcBorders>
              <w:top w:val="nil"/>
              <w:left w:val="nil"/>
              <w:bottom w:val="single" w:sz="4" w:space="0" w:color="auto"/>
              <w:right w:val="nil"/>
            </w:tcBorders>
            <w:shd w:val="clear" w:color="000000" w:fill="FFFFFF"/>
            <w:noWrap/>
            <w:vAlign w:val="center"/>
            <w:hideMark/>
          </w:tcPr>
          <w:p w14:paraId="712757B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-1,4</w:t>
            </w:r>
          </w:p>
        </w:tc>
        <w:tc>
          <w:tcPr>
            <w:tcW w:w="1120" w:type="dxa"/>
            <w:tcBorders>
              <w:top w:val="nil"/>
              <w:left w:val="nil"/>
              <w:bottom w:val="single" w:sz="4" w:space="0" w:color="auto"/>
              <w:right w:val="nil"/>
            </w:tcBorders>
            <w:shd w:val="clear" w:color="000000" w:fill="D9D9D9"/>
            <w:noWrap/>
            <w:vAlign w:val="center"/>
            <w:hideMark/>
          </w:tcPr>
          <w:p w14:paraId="0D5D1420"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9,9</w:t>
            </w:r>
          </w:p>
        </w:tc>
        <w:tc>
          <w:tcPr>
            <w:tcW w:w="1360" w:type="dxa"/>
            <w:tcBorders>
              <w:top w:val="nil"/>
              <w:left w:val="nil"/>
              <w:bottom w:val="single" w:sz="4" w:space="0" w:color="auto"/>
              <w:right w:val="nil"/>
            </w:tcBorders>
            <w:shd w:val="clear" w:color="000000" w:fill="FFFFFF"/>
            <w:noWrap/>
            <w:vAlign w:val="center"/>
            <w:hideMark/>
          </w:tcPr>
          <w:p w14:paraId="46D9C0DA"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-1,1</w:t>
            </w:r>
          </w:p>
        </w:tc>
      </w:tr>
      <w:tr w:rsidR="005B1F48" w14:paraId="64C6E97A"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61FE8591"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10.001-20.000</w:t>
            </w:r>
          </w:p>
        </w:tc>
        <w:tc>
          <w:tcPr>
            <w:tcW w:w="1300" w:type="dxa"/>
            <w:tcBorders>
              <w:top w:val="nil"/>
              <w:left w:val="nil"/>
              <w:bottom w:val="single" w:sz="4" w:space="0" w:color="auto"/>
              <w:right w:val="nil"/>
            </w:tcBorders>
            <w:shd w:val="clear" w:color="000000" w:fill="D9D9D9"/>
            <w:noWrap/>
            <w:vAlign w:val="center"/>
            <w:hideMark/>
          </w:tcPr>
          <w:p w14:paraId="7C56F50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11,1</w:t>
            </w:r>
          </w:p>
        </w:tc>
        <w:tc>
          <w:tcPr>
            <w:tcW w:w="1300" w:type="dxa"/>
            <w:tcBorders>
              <w:top w:val="nil"/>
              <w:left w:val="nil"/>
              <w:bottom w:val="single" w:sz="4" w:space="0" w:color="auto"/>
              <w:right w:val="nil"/>
            </w:tcBorders>
            <w:shd w:val="clear" w:color="000000" w:fill="FFFFFF"/>
            <w:noWrap/>
            <w:vAlign w:val="center"/>
            <w:hideMark/>
          </w:tcPr>
          <w:p w14:paraId="2F02CFDB"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0,1</w:t>
            </w:r>
          </w:p>
        </w:tc>
        <w:tc>
          <w:tcPr>
            <w:tcW w:w="1300" w:type="dxa"/>
            <w:tcBorders>
              <w:top w:val="nil"/>
              <w:left w:val="nil"/>
              <w:bottom w:val="single" w:sz="4" w:space="0" w:color="auto"/>
              <w:right w:val="nil"/>
            </w:tcBorders>
            <w:shd w:val="clear" w:color="000000" w:fill="D9D9D9"/>
            <w:noWrap/>
            <w:vAlign w:val="center"/>
            <w:hideMark/>
          </w:tcPr>
          <w:p w14:paraId="19ECD4F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88,9</w:t>
            </w:r>
          </w:p>
        </w:tc>
        <w:tc>
          <w:tcPr>
            <w:tcW w:w="1300" w:type="dxa"/>
            <w:tcBorders>
              <w:top w:val="nil"/>
              <w:left w:val="nil"/>
              <w:bottom w:val="single" w:sz="4" w:space="0" w:color="auto"/>
              <w:right w:val="nil"/>
            </w:tcBorders>
            <w:shd w:val="clear" w:color="000000" w:fill="FFFFFF"/>
            <w:noWrap/>
            <w:vAlign w:val="center"/>
            <w:hideMark/>
          </w:tcPr>
          <w:p w14:paraId="2DB2910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1120" w:type="dxa"/>
            <w:tcBorders>
              <w:top w:val="nil"/>
              <w:left w:val="nil"/>
              <w:bottom w:val="single" w:sz="4" w:space="0" w:color="auto"/>
              <w:right w:val="nil"/>
            </w:tcBorders>
            <w:shd w:val="clear" w:color="000000" w:fill="D9D9D9"/>
            <w:noWrap/>
            <w:vAlign w:val="center"/>
            <w:hideMark/>
          </w:tcPr>
          <w:p w14:paraId="36725ABD"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6,9</w:t>
            </w:r>
          </w:p>
        </w:tc>
        <w:tc>
          <w:tcPr>
            <w:tcW w:w="1360" w:type="dxa"/>
            <w:tcBorders>
              <w:top w:val="nil"/>
              <w:left w:val="nil"/>
              <w:bottom w:val="single" w:sz="4" w:space="0" w:color="auto"/>
              <w:right w:val="nil"/>
            </w:tcBorders>
            <w:shd w:val="clear" w:color="000000" w:fill="FFFFFF"/>
            <w:noWrap/>
            <w:vAlign w:val="center"/>
            <w:hideMark/>
          </w:tcPr>
          <w:p w14:paraId="5C0FCA0B"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-0,5</w:t>
            </w:r>
          </w:p>
        </w:tc>
      </w:tr>
      <w:tr w:rsidR="005B1F48" w14:paraId="4014EB64" w14:textId="77777777" w:rsidTr="005B1F48">
        <w:trPr>
          <w:trHeight w:val="300"/>
        </w:trPr>
        <w:tc>
          <w:tcPr>
            <w:tcW w:w="1920" w:type="dxa"/>
            <w:tcBorders>
              <w:top w:val="nil"/>
              <w:left w:val="nil"/>
              <w:bottom w:val="single" w:sz="4" w:space="0" w:color="auto"/>
              <w:right w:val="nil"/>
            </w:tcBorders>
            <w:shd w:val="clear" w:color="auto" w:fill="auto"/>
            <w:noWrap/>
            <w:vAlign w:val="center"/>
            <w:hideMark/>
          </w:tcPr>
          <w:p w14:paraId="3DF7D339"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oltre 50.000</w:t>
            </w:r>
          </w:p>
        </w:tc>
        <w:tc>
          <w:tcPr>
            <w:tcW w:w="1300" w:type="dxa"/>
            <w:tcBorders>
              <w:top w:val="nil"/>
              <w:left w:val="nil"/>
              <w:bottom w:val="single" w:sz="4" w:space="0" w:color="auto"/>
              <w:right w:val="nil"/>
            </w:tcBorders>
            <w:shd w:val="clear" w:color="000000" w:fill="D9D9D9"/>
            <w:noWrap/>
            <w:vAlign w:val="center"/>
            <w:hideMark/>
          </w:tcPr>
          <w:p w14:paraId="676F0CBE"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0,0</w:t>
            </w:r>
          </w:p>
        </w:tc>
        <w:tc>
          <w:tcPr>
            <w:tcW w:w="1300" w:type="dxa"/>
            <w:tcBorders>
              <w:top w:val="nil"/>
              <w:left w:val="nil"/>
              <w:bottom w:val="single" w:sz="4" w:space="0" w:color="auto"/>
              <w:right w:val="nil"/>
            </w:tcBorders>
            <w:shd w:val="clear" w:color="000000" w:fill="FFFFFF"/>
            <w:noWrap/>
            <w:vAlign w:val="center"/>
            <w:hideMark/>
          </w:tcPr>
          <w:p w14:paraId="2A48C97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0,0</w:t>
            </w:r>
          </w:p>
        </w:tc>
        <w:tc>
          <w:tcPr>
            <w:tcW w:w="1300" w:type="dxa"/>
            <w:tcBorders>
              <w:top w:val="nil"/>
              <w:left w:val="nil"/>
              <w:bottom w:val="single" w:sz="4" w:space="0" w:color="auto"/>
              <w:right w:val="nil"/>
            </w:tcBorders>
            <w:shd w:val="clear" w:color="000000" w:fill="D9D9D9"/>
            <w:noWrap/>
            <w:vAlign w:val="center"/>
            <w:hideMark/>
          </w:tcPr>
          <w:p w14:paraId="4565980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100,0</w:t>
            </w:r>
          </w:p>
        </w:tc>
        <w:tc>
          <w:tcPr>
            <w:tcW w:w="1300" w:type="dxa"/>
            <w:tcBorders>
              <w:top w:val="nil"/>
              <w:left w:val="nil"/>
              <w:bottom w:val="single" w:sz="4" w:space="0" w:color="auto"/>
              <w:right w:val="nil"/>
            </w:tcBorders>
            <w:shd w:val="clear" w:color="000000" w:fill="FFFFFF"/>
            <w:noWrap/>
            <w:vAlign w:val="center"/>
            <w:hideMark/>
          </w:tcPr>
          <w:p w14:paraId="6586D894"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-1,3</w:t>
            </w:r>
          </w:p>
        </w:tc>
        <w:tc>
          <w:tcPr>
            <w:tcW w:w="1120" w:type="dxa"/>
            <w:tcBorders>
              <w:top w:val="nil"/>
              <w:left w:val="nil"/>
              <w:bottom w:val="single" w:sz="4" w:space="0" w:color="auto"/>
              <w:right w:val="nil"/>
            </w:tcBorders>
            <w:shd w:val="clear" w:color="000000" w:fill="D9D9D9"/>
            <w:noWrap/>
            <w:vAlign w:val="center"/>
            <w:hideMark/>
          </w:tcPr>
          <w:p w14:paraId="012F85E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1,5</w:t>
            </w:r>
          </w:p>
        </w:tc>
        <w:tc>
          <w:tcPr>
            <w:tcW w:w="1360" w:type="dxa"/>
            <w:tcBorders>
              <w:top w:val="nil"/>
              <w:left w:val="nil"/>
              <w:bottom w:val="single" w:sz="4" w:space="0" w:color="auto"/>
              <w:right w:val="nil"/>
            </w:tcBorders>
            <w:shd w:val="clear" w:color="000000" w:fill="FFFFFF"/>
            <w:noWrap/>
            <w:vAlign w:val="center"/>
            <w:hideMark/>
          </w:tcPr>
          <w:p w14:paraId="1730A41F"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-1,3</w:t>
            </w:r>
          </w:p>
        </w:tc>
      </w:tr>
      <w:tr w:rsidR="005B1F48" w14:paraId="72484C5B" w14:textId="77777777" w:rsidTr="005B1F48">
        <w:trPr>
          <w:trHeight w:val="300"/>
        </w:trPr>
        <w:tc>
          <w:tcPr>
            <w:tcW w:w="1920" w:type="dxa"/>
            <w:tcBorders>
              <w:top w:val="single" w:sz="4" w:space="0" w:color="auto"/>
              <w:left w:val="nil"/>
              <w:bottom w:val="single" w:sz="4" w:space="0" w:color="auto"/>
              <w:right w:val="nil"/>
            </w:tcBorders>
            <w:shd w:val="clear" w:color="000000" w:fill="C9321F"/>
            <w:noWrap/>
            <w:vAlign w:val="center"/>
            <w:hideMark/>
          </w:tcPr>
          <w:p w14:paraId="7D972E28" w14:textId="77777777" w:rsidR="005B1F48" w:rsidRDefault="005B1F48">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300" w:type="dxa"/>
            <w:tcBorders>
              <w:top w:val="single" w:sz="4" w:space="0" w:color="auto"/>
              <w:left w:val="nil"/>
              <w:bottom w:val="single" w:sz="4" w:space="0" w:color="auto"/>
              <w:right w:val="nil"/>
            </w:tcBorders>
            <w:shd w:val="clear" w:color="000000" w:fill="C9321F"/>
            <w:noWrap/>
            <w:vAlign w:val="center"/>
            <w:hideMark/>
          </w:tcPr>
          <w:p w14:paraId="2BD2C059"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3,8</w:t>
            </w:r>
          </w:p>
        </w:tc>
        <w:tc>
          <w:tcPr>
            <w:tcW w:w="1300" w:type="dxa"/>
            <w:tcBorders>
              <w:top w:val="single" w:sz="4" w:space="0" w:color="auto"/>
              <w:left w:val="nil"/>
              <w:bottom w:val="single" w:sz="4" w:space="0" w:color="auto"/>
              <w:right w:val="nil"/>
            </w:tcBorders>
            <w:shd w:val="clear" w:color="000000" w:fill="C9321F"/>
            <w:noWrap/>
            <w:vAlign w:val="center"/>
            <w:hideMark/>
          </w:tcPr>
          <w:p w14:paraId="4F29EE13"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0,1</w:t>
            </w:r>
          </w:p>
        </w:tc>
        <w:tc>
          <w:tcPr>
            <w:tcW w:w="1300" w:type="dxa"/>
            <w:tcBorders>
              <w:top w:val="single" w:sz="4" w:space="0" w:color="auto"/>
              <w:left w:val="nil"/>
              <w:bottom w:val="single" w:sz="4" w:space="0" w:color="auto"/>
              <w:right w:val="nil"/>
            </w:tcBorders>
            <w:shd w:val="clear" w:color="000000" w:fill="C9321F"/>
            <w:noWrap/>
            <w:vAlign w:val="center"/>
            <w:hideMark/>
          </w:tcPr>
          <w:p w14:paraId="169F1D48"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96,2</w:t>
            </w:r>
          </w:p>
        </w:tc>
        <w:tc>
          <w:tcPr>
            <w:tcW w:w="1300" w:type="dxa"/>
            <w:tcBorders>
              <w:top w:val="single" w:sz="4" w:space="0" w:color="auto"/>
              <w:left w:val="nil"/>
              <w:bottom w:val="single" w:sz="4" w:space="0" w:color="auto"/>
              <w:right w:val="nil"/>
            </w:tcBorders>
            <w:shd w:val="clear" w:color="000000" w:fill="C9321F"/>
            <w:noWrap/>
            <w:vAlign w:val="center"/>
            <w:hideMark/>
          </w:tcPr>
          <w:p w14:paraId="7133067B"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-1,5</w:t>
            </w:r>
          </w:p>
        </w:tc>
        <w:tc>
          <w:tcPr>
            <w:tcW w:w="1120" w:type="dxa"/>
            <w:tcBorders>
              <w:top w:val="single" w:sz="4" w:space="0" w:color="auto"/>
              <w:left w:val="nil"/>
              <w:bottom w:val="single" w:sz="4" w:space="0" w:color="auto"/>
              <w:right w:val="nil"/>
            </w:tcBorders>
            <w:shd w:val="clear" w:color="000000" w:fill="C9321F"/>
            <w:noWrap/>
            <w:vAlign w:val="center"/>
            <w:hideMark/>
          </w:tcPr>
          <w:p w14:paraId="4D8C86C8"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1360" w:type="dxa"/>
            <w:tcBorders>
              <w:top w:val="single" w:sz="4" w:space="0" w:color="auto"/>
              <w:left w:val="nil"/>
              <w:bottom w:val="single" w:sz="4" w:space="0" w:color="auto"/>
              <w:right w:val="nil"/>
            </w:tcBorders>
            <w:shd w:val="clear" w:color="000000" w:fill="C9321F"/>
            <w:noWrap/>
            <w:vAlign w:val="center"/>
            <w:hideMark/>
          </w:tcPr>
          <w:p w14:paraId="231B884A"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-1,5</w:t>
            </w:r>
          </w:p>
        </w:tc>
      </w:tr>
      <w:tr w:rsidR="005B1F48" w14:paraId="35C78B3F" w14:textId="77777777" w:rsidTr="005B1F48">
        <w:trPr>
          <w:trHeight w:val="465"/>
        </w:trPr>
        <w:tc>
          <w:tcPr>
            <w:tcW w:w="9600" w:type="dxa"/>
            <w:gridSpan w:val="7"/>
            <w:tcBorders>
              <w:top w:val="nil"/>
              <w:left w:val="nil"/>
              <w:bottom w:val="nil"/>
              <w:right w:val="nil"/>
            </w:tcBorders>
            <w:shd w:val="clear" w:color="auto" w:fill="auto"/>
            <w:vAlign w:val="bottom"/>
            <w:hideMark/>
          </w:tcPr>
          <w:p w14:paraId="5AA63837" w14:textId="77777777" w:rsidR="005B1F48" w:rsidRDefault="005B1F48">
            <w:pPr>
              <w:rPr>
                <w:rFonts w:ascii="Arial Narrow" w:hAnsi="Arial Narrow" w:cs="Calibri"/>
                <w:color w:val="000000"/>
                <w:sz w:val="16"/>
                <w:szCs w:val="16"/>
              </w:rPr>
            </w:pPr>
            <w:r>
              <w:rPr>
                <w:rFonts w:ascii="Arial Narrow" w:hAnsi="Arial Narrow" w:cs="Calibri"/>
                <w:color w:val="000000"/>
                <w:sz w:val="16"/>
                <w:szCs w:val="16"/>
              </w:rPr>
              <w:t>(a) La variazione percentuale dei saldi positivi e negativi è calcolata sulla popolazione di inizio periodo (popolazione censita al 31 dicembre 2019). I comuni con saldo pari a zero sono stati computati tra quelli con incremento di popolazione.</w:t>
            </w:r>
          </w:p>
        </w:tc>
      </w:tr>
      <w:tr w:rsidR="005B1F48" w14:paraId="7D52C6BC" w14:textId="77777777" w:rsidTr="005B1F48">
        <w:trPr>
          <w:trHeight w:val="240"/>
        </w:trPr>
        <w:tc>
          <w:tcPr>
            <w:tcW w:w="9600" w:type="dxa"/>
            <w:gridSpan w:val="7"/>
            <w:tcBorders>
              <w:top w:val="nil"/>
              <w:left w:val="nil"/>
              <w:bottom w:val="nil"/>
              <w:right w:val="nil"/>
            </w:tcBorders>
            <w:shd w:val="clear" w:color="auto" w:fill="auto"/>
            <w:noWrap/>
            <w:vAlign w:val="bottom"/>
            <w:hideMark/>
          </w:tcPr>
          <w:p w14:paraId="4335ADA1" w14:textId="77777777" w:rsidR="005B1F48" w:rsidRDefault="005B1F48">
            <w:pPr>
              <w:rPr>
                <w:rFonts w:ascii="Arial Narrow" w:hAnsi="Arial Narrow" w:cs="Calibri"/>
                <w:color w:val="000000"/>
                <w:sz w:val="16"/>
                <w:szCs w:val="16"/>
              </w:rPr>
            </w:pPr>
            <w:r>
              <w:rPr>
                <w:rFonts w:ascii="Arial Narrow" w:hAnsi="Arial Narrow" w:cs="Calibri"/>
                <w:color w:val="000000"/>
                <w:sz w:val="16"/>
                <w:szCs w:val="16"/>
              </w:rPr>
              <w:t>(b) Il valore percentuale è calcolato sul totale dei comuni.</w:t>
            </w:r>
          </w:p>
        </w:tc>
      </w:tr>
    </w:tbl>
    <w:p w14:paraId="70A3A8FB" w14:textId="77777777" w:rsidR="00B13ADF" w:rsidRDefault="00B13ADF" w:rsidP="00B13ADF">
      <w:pPr>
        <w:spacing w:after="120"/>
        <w:jc w:val="both"/>
        <w:rPr>
          <w:rFonts w:ascii="Trebuchet MS" w:hAnsi="Trebuchet MS" w:cs="Arial"/>
          <w:b/>
          <w:color w:val="5F5F5F"/>
          <w:sz w:val="22"/>
          <w:szCs w:val="22"/>
        </w:rPr>
      </w:pPr>
    </w:p>
    <w:p w14:paraId="5132BF06" w14:textId="46D1B268" w:rsidR="000E7CDD" w:rsidRPr="00047761" w:rsidRDefault="008C7BC5" w:rsidP="00B13ADF">
      <w:pPr>
        <w:spacing w:after="120"/>
        <w:jc w:val="both"/>
        <w:rPr>
          <w:rFonts w:ascii="Trebuchet MS" w:hAnsi="Trebuchet MS" w:cs="Arial"/>
          <w:b/>
          <w:color w:val="5F5F5F"/>
          <w:sz w:val="22"/>
          <w:szCs w:val="22"/>
        </w:rPr>
      </w:pPr>
      <w:r>
        <w:rPr>
          <w:rFonts w:ascii="Trebuchet MS" w:hAnsi="Trebuchet MS" w:cs="Arial"/>
          <w:b/>
          <w:color w:val="5F5F5F"/>
          <w:sz w:val="22"/>
          <w:szCs w:val="22"/>
        </w:rPr>
        <w:t>D</w:t>
      </w:r>
      <w:r w:rsidR="00047761" w:rsidRPr="00047761">
        <w:rPr>
          <w:rFonts w:ascii="Trebuchet MS" w:hAnsi="Trebuchet MS" w:cs="Arial"/>
          <w:b/>
          <w:color w:val="5F5F5F"/>
          <w:sz w:val="22"/>
          <w:szCs w:val="22"/>
        </w:rPr>
        <w:t>inamica demografica durante la pandemia</w:t>
      </w:r>
      <w:r w:rsidR="00047761">
        <w:rPr>
          <w:rFonts w:ascii="Trebuchet MS" w:hAnsi="Trebuchet MS" w:cs="Arial"/>
          <w:b/>
          <w:color w:val="5F5F5F"/>
          <w:sz w:val="22"/>
          <w:szCs w:val="22"/>
        </w:rPr>
        <w:t xml:space="preserve"> </w:t>
      </w:r>
    </w:p>
    <w:p w14:paraId="2D8A278A" w14:textId="3977C192" w:rsidR="00C62A02" w:rsidRDefault="00DB3DA4" w:rsidP="0054706B">
      <w:pPr>
        <w:autoSpaceDE w:val="0"/>
        <w:autoSpaceDN w:val="0"/>
        <w:adjustRightInd w:val="0"/>
        <w:spacing w:after="100"/>
        <w:jc w:val="both"/>
        <w:rPr>
          <w:rFonts w:ascii="Trebuchet MS" w:hAnsi="Trebuchet MS" w:cs="Arial"/>
          <w:color w:val="5F5F5F"/>
          <w:kern w:val="28"/>
          <w:sz w:val="20"/>
          <w:szCs w:val="20"/>
        </w:rPr>
      </w:pPr>
      <w:r>
        <w:rPr>
          <w:rFonts w:ascii="Trebuchet MS" w:hAnsi="Trebuchet MS" w:cs="Arial"/>
          <w:color w:val="5F5F5F"/>
          <w:kern w:val="28"/>
          <w:sz w:val="20"/>
          <w:szCs w:val="20"/>
        </w:rPr>
        <w:t>Il de</w:t>
      </w:r>
      <w:r w:rsidR="00690044">
        <w:rPr>
          <w:rFonts w:ascii="Trebuchet MS" w:hAnsi="Trebuchet MS" w:cs="Arial"/>
          <w:color w:val="5F5F5F"/>
          <w:kern w:val="28"/>
          <w:sz w:val="20"/>
          <w:szCs w:val="20"/>
        </w:rPr>
        <w:t>cremento della popolazione straniera ha</w:t>
      </w:r>
      <w:r>
        <w:rPr>
          <w:rFonts w:ascii="Trebuchet MS" w:hAnsi="Trebuchet MS" w:cs="Arial"/>
          <w:color w:val="5F5F5F"/>
          <w:kern w:val="28"/>
          <w:sz w:val="20"/>
          <w:szCs w:val="20"/>
        </w:rPr>
        <w:t xml:space="preserve"> accentuato</w:t>
      </w:r>
      <w:r w:rsidR="00690044">
        <w:rPr>
          <w:rFonts w:ascii="Trebuchet MS" w:hAnsi="Trebuchet MS" w:cs="Arial"/>
          <w:color w:val="5F5F5F"/>
          <w:kern w:val="28"/>
          <w:sz w:val="20"/>
          <w:szCs w:val="20"/>
        </w:rPr>
        <w:t xml:space="preserve"> il declino ascrivibile principalmente al deficit di “sostituzione naturale” tra nati e morti (saldo naturale). </w:t>
      </w:r>
      <w:r w:rsidR="00AB33C6">
        <w:rPr>
          <w:rFonts w:ascii="Trebuchet MS" w:hAnsi="Trebuchet MS" w:cs="Arial"/>
          <w:color w:val="5F5F5F"/>
          <w:kern w:val="28"/>
          <w:sz w:val="20"/>
          <w:szCs w:val="20"/>
        </w:rPr>
        <w:t xml:space="preserve">Questa tendenza alla </w:t>
      </w:r>
      <w:r>
        <w:rPr>
          <w:rFonts w:ascii="Trebuchet MS" w:hAnsi="Trebuchet MS" w:cs="Arial"/>
          <w:color w:val="5F5F5F"/>
          <w:kern w:val="28"/>
          <w:sz w:val="20"/>
          <w:szCs w:val="20"/>
        </w:rPr>
        <w:t>de</w:t>
      </w:r>
      <w:r w:rsidR="00AB33C6">
        <w:rPr>
          <w:rFonts w:ascii="Trebuchet MS" w:hAnsi="Trebuchet MS" w:cs="Arial"/>
          <w:color w:val="5F5F5F"/>
          <w:kern w:val="28"/>
          <w:sz w:val="20"/>
          <w:szCs w:val="20"/>
        </w:rPr>
        <w:t xml:space="preserve">crescita demografica è stata ulteriormente </w:t>
      </w:r>
      <w:r w:rsidR="003919C5">
        <w:rPr>
          <w:rFonts w:ascii="Trebuchet MS" w:hAnsi="Trebuchet MS" w:cs="Arial"/>
          <w:color w:val="5F5F5F"/>
          <w:kern w:val="28"/>
          <w:sz w:val="20"/>
          <w:szCs w:val="20"/>
        </w:rPr>
        <w:t>rafforzata</w:t>
      </w:r>
      <w:r w:rsidR="00AB33C6">
        <w:rPr>
          <w:rFonts w:ascii="Trebuchet MS" w:hAnsi="Trebuchet MS" w:cs="Arial"/>
          <w:color w:val="5F5F5F"/>
          <w:kern w:val="28"/>
          <w:sz w:val="20"/>
          <w:szCs w:val="20"/>
        </w:rPr>
        <w:t xml:space="preserve"> dalla pandemia da Covid-19. </w:t>
      </w:r>
      <w:r w:rsidR="0054706B">
        <w:rPr>
          <w:rFonts w:ascii="Trebuchet MS" w:hAnsi="Trebuchet MS" w:cs="Arial"/>
          <w:color w:val="5F5F5F"/>
          <w:kern w:val="28"/>
          <w:sz w:val="20"/>
          <w:szCs w:val="20"/>
        </w:rPr>
        <w:t>L’eccesso di decessi</w:t>
      </w:r>
      <w:r w:rsidR="00C62A02">
        <w:rPr>
          <w:rFonts w:ascii="Trebuchet MS" w:hAnsi="Trebuchet MS" w:cs="Arial"/>
          <w:color w:val="5F5F5F"/>
          <w:kern w:val="28"/>
          <w:sz w:val="20"/>
          <w:szCs w:val="20"/>
        </w:rPr>
        <w:t>,</w:t>
      </w:r>
      <w:r w:rsidR="0054706B">
        <w:rPr>
          <w:rFonts w:ascii="Trebuchet MS" w:hAnsi="Trebuchet MS" w:cs="Arial"/>
          <w:color w:val="5F5F5F"/>
          <w:kern w:val="28"/>
          <w:sz w:val="20"/>
          <w:szCs w:val="20"/>
        </w:rPr>
        <w:t xml:space="preserve"> direttam</w:t>
      </w:r>
      <w:r w:rsidR="008C15E9">
        <w:rPr>
          <w:rFonts w:ascii="Trebuchet MS" w:hAnsi="Trebuchet MS" w:cs="Arial"/>
          <w:color w:val="5F5F5F"/>
          <w:kern w:val="28"/>
          <w:sz w:val="20"/>
          <w:szCs w:val="20"/>
        </w:rPr>
        <w:t>ente o indirettamente riferibile</w:t>
      </w:r>
      <w:r w:rsidR="0054706B">
        <w:rPr>
          <w:rFonts w:ascii="Trebuchet MS" w:hAnsi="Trebuchet MS" w:cs="Arial"/>
          <w:color w:val="5F5F5F"/>
          <w:kern w:val="28"/>
          <w:sz w:val="20"/>
          <w:szCs w:val="20"/>
        </w:rPr>
        <w:t xml:space="preserve"> alla pandemia</w:t>
      </w:r>
      <w:r w:rsidR="00C62A02">
        <w:rPr>
          <w:rFonts w:ascii="Trebuchet MS" w:hAnsi="Trebuchet MS" w:cs="Arial"/>
          <w:color w:val="5F5F5F"/>
          <w:kern w:val="28"/>
          <w:sz w:val="20"/>
          <w:szCs w:val="20"/>
        </w:rPr>
        <w:t>,</w:t>
      </w:r>
      <w:r w:rsidR="00AB33C6">
        <w:rPr>
          <w:rFonts w:ascii="Trebuchet MS" w:hAnsi="Trebuchet MS" w:cs="Arial"/>
          <w:color w:val="5F5F5F"/>
          <w:kern w:val="28"/>
          <w:sz w:val="20"/>
          <w:szCs w:val="20"/>
        </w:rPr>
        <w:t xml:space="preserve"> </w:t>
      </w:r>
      <w:r w:rsidR="0054706B">
        <w:rPr>
          <w:rFonts w:ascii="Trebuchet MS" w:hAnsi="Trebuchet MS" w:cs="Arial"/>
          <w:color w:val="5F5F5F"/>
          <w:kern w:val="28"/>
          <w:sz w:val="20"/>
          <w:szCs w:val="20"/>
        </w:rPr>
        <w:t>ha comportato</w:t>
      </w:r>
      <w:r w:rsidR="0091287E">
        <w:rPr>
          <w:rFonts w:ascii="Trebuchet MS" w:hAnsi="Trebuchet MS" w:cs="Arial"/>
          <w:color w:val="5F5F5F"/>
          <w:kern w:val="28"/>
          <w:sz w:val="20"/>
          <w:szCs w:val="20"/>
        </w:rPr>
        <w:t xml:space="preserve"> in </w:t>
      </w:r>
      <w:r w:rsidR="003919C5">
        <w:rPr>
          <w:rFonts w:ascii="Trebuchet MS" w:hAnsi="Trebuchet MS" w:cs="Arial"/>
          <w:color w:val="5F5F5F"/>
          <w:kern w:val="28"/>
          <w:sz w:val="20"/>
          <w:szCs w:val="20"/>
        </w:rPr>
        <w:t>Basilicata</w:t>
      </w:r>
      <w:r w:rsidR="0054706B">
        <w:rPr>
          <w:rFonts w:ascii="Trebuchet MS" w:hAnsi="Trebuchet MS" w:cs="Arial"/>
          <w:color w:val="5F5F5F"/>
          <w:kern w:val="28"/>
          <w:sz w:val="20"/>
          <w:szCs w:val="20"/>
        </w:rPr>
        <w:t xml:space="preserve"> l’incremento del tasso di mortalità dal</w:t>
      </w:r>
      <w:r w:rsidR="0091287E">
        <w:rPr>
          <w:rFonts w:ascii="Trebuchet MS" w:hAnsi="Trebuchet MS" w:cs="Arial"/>
          <w:color w:val="5F5F5F"/>
          <w:kern w:val="28"/>
          <w:sz w:val="20"/>
          <w:szCs w:val="20"/>
        </w:rPr>
        <w:t>l’</w:t>
      </w:r>
      <w:r w:rsidR="0054706B">
        <w:rPr>
          <w:rFonts w:ascii="Trebuchet MS" w:hAnsi="Trebuchet MS" w:cs="Arial"/>
          <w:color w:val="5F5F5F"/>
          <w:kern w:val="28"/>
          <w:sz w:val="20"/>
          <w:szCs w:val="20"/>
        </w:rPr>
        <w:t>11,</w:t>
      </w:r>
      <w:r w:rsidR="003919C5">
        <w:rPr>
          <w:rFonts w:ascii="Trebuchet MS" w:hAnsi="Trebuchet MS" w:cs="Arial"/>
          <w:color w:val="5F5F5F"/>
          <w:kern w:val="28"/>
          <w:sz w:val="20"/>
          <w:szCs w:val="20"/>
        </w:rPr>
        <w:t>7</w:t>
      </w:r>
      <w:r w:rsidR="0054706B">
        <w:rPr>
          <w:rFonts w:ascii="Trebuchet MS" w:hAnsi="Trebuchet MS" w:cs="Arial"/>
          <w:color w:val="5F5F5F"/>
          <w:kern w:val="28"/>
          <w:sz w:val="20"/>
          <w:szCs w:val="20"/>
        </w:rPr>
        <w:t xml:space="preserve"> del 2019 al 1</w:t>
      </w:r>
      <w:r w:rsidR="003919C5">
        <w:rPr>
          <w:rFonts w:ascii="Trebuchet MS" w:hAnsi="Trebuchet MS" w:cs="Arial"/>
          <w:color w:val="5F5F5F"/>
          <w:kern w:val="28"/>
          <w:sz w:val="20"/>
          <w:szCs w:val="20"/>
        </w:rPr>
        <w:t>2,2</w:t>
      </w:r>
      <w:r w:rsidR="0054706B">
        <w:rPr>
          <w:rFonts w:ascii="Trebuchet MS" w:hAnsi="Trebuchet MS" w:cs="Arial"/>
          <w:color w:val="5F5F5F"/>
          <w:kern w:val="28"/>
          <w:sz w:val="20"/>
          <w:szCs w:val="20"/>
        </w:rPr>
        <w:t xml:space="preserve"> per mille</w:t>
      </w:r>
      <w:r w:rsidR="00AB33C6">
        <w:rPr>
          <w:rFonts w:ascii="Trebuchet MS" w:hAnsi="Trebuchet MS" w:cs="Arial"/>
          <w:color w:val="5F5F5F"/>
          <w:kern w:val="28"/>
          <w:sz w:val="20"/>
          <w:szCs w:val="20"/>
        </w:rPr>
        <w:t xml:space="preserve"> </w:t>
      </w:r>
      <w:r w:rsidR="00977C7B">
        <w:rPr>
          <w:rFonts w:ascii="Trebuchet MS" w:hAnsi="Trebuchet MS" w:cs="Arial"/>
          <w:color w:val="5F5F5F"/>
          <w:kern w:val="28"/>
          <w:sz w:val="20"/>
          <w:szCs w:val="20"/>
        </w:rPr>
        <w:t>del 2020</w:t>
      </w:r>
      <w:r w:rsidR="0054706B">
        <w:rPr>
          <w:rFonts w:ascii="Trebuchet MS" w:hAnsi="Trebuchet MS" w:cs="Arial"/>
          <w:color w:val="5F5F5F"/>
          <w:kern w:val="28"/>
          <w:sz w:val="20"/>
          <w:szCs w:val="20"/>
        </w:rPr>
        <w:t>, con il picco</w:t>
      </w:r>
      <w:r w:rsidR="0054706B" w:rsidRPr="001A4BED">
        <w:rPr>
          <w:rFonts w:ascii="Trebuchet MS" w:hAnsi="Trebuchet MS" w:cs="Arial"/>
          <w:color w:val="5F5F5F"/>
          <w:kern w:val="28"/>
          <w:sz w:val="20"/>
          <w:szCs w:val="20"/>
        </w:rPr>
        <w:t xml:space="preserve"> </w:t>
      </w:r>
      <w:r w:rsidR="0054706B">
        <w:rPr>
          <w:rFonts w:ascii="Trebuchet MS" w:hAnsi="Trebuchet MS" w:cs="Arial"/>
          <w:color w:val="5F5F5F"/>
          <w:kern w:val="28"/>
          <w:sz w:val="20"/>
          <w:szCs w:val="20"/>
        </w:rPr>
        <w:t>del 1</w:t>
      </w:r>
      <w:r w:rsidR="003919C5">
        <w:rPr>
          <w:rFonts w:ascii="Trebuchet MS" w:hAnsi="Trebuchet MS" w:cs="Arial"/>
          <w:color w:val="5F5F5F"/>
          <w:kern w:val="28"/>
          <w:sz w:val="20"/>
          <w:szCs w:val="20"/>
        </w:rPr>
        <w:t>2</w:t>
      </w:r>
      <w:r w:rsidR="0054706B">
        <w:rPr>
          <w:rFonts w:ascii="Trebuchet MS" w:hAnsi="Trebuchet MS" w:cs="Arial"/>
          <w:color w:val="5F5F5F"/>
          <w:kern w:val="28"/>
          <w:sz w:val="20"/>
          <w:szCs w:val="20"/>
        </w:rPr>
        <w:t xml:space="preserve">,7 per mille di </w:t>
      </w:r>
      <w:r w:rsidR="003919C5">
        <w:rPr>
          <w:rFonts w:ascii="Trebuchet MS" w:hAnsi="Trebuchet MS" w:cs="Arial"/>
          <w:color w:val="5F5F5F"/>
          <w:kern w:val="28"/>
          <w:sz w:val="20"/>
          <w:szCs w:val="20"/>
        </w:rPr>
        <w:t>Potenza</w:t>
      </w:r>
      <w:r w:rsidR="0054706B">
        <w:rPr>
          <w:rFonts w:ascii="Trebuchet MS" w:hAnsi="Trebuchet MS" w:cs="Arial"/>
          <w:color w:val="5F5F5F"/>
          <w:kern w:val="28"/>
          <w:sz w:val="20"/>
          <w:szCs w:val="20"/>
        </w:rPr>
        <w:t xml:space="preserve">. </w:t>
      </w:r>
    </w:p>
    <w:p w14:paraId="1D53601C" w14:textId="1A80796E" w:rsidR="0054706B" w:rsidRDefault="0054706B" w:rsidP="0054706B">
      <w:pPr>
        <w:autoSpaceDE w:val="0"/>
        <w:autoSpaceDN w:val="0"/>
        <w:adjustRightInd w:val="0"/>
        <w:spacing w:after="100"/>
        <w:jc w:val="both"/>
        <w:rPr>
          <w:rFonts w:ascii="Trebuchet MS" w:hAnsi="Trebuchet MS" w:cs="Arial"/>
          <w:color w:val="5F5F5F"/>
          <w:kern w:val="28"/>
          <w:sz w:val="20"/>
          <w:szCs w:val="20"/>
        </w:rPr>
      </w:pPr>
      <w:r>
        <w:rPr>
          <w:rFonts w:ascii="Trebuchet MS" w:hAnsi="Trebuchet MS" w:cs="Arial"/>
          <w:color w:val="5F5F5F"/>
          <w:kern w:val="28"/>
          <w:sz w:val="20"/>
          <w:szCs w:val="20"/>
        </w:rPr>
        <w:t xml:space="preserve">Sulla natalità gli effetti sono meno </w:t>
      </w:r>
      <w:r w:rsidR="0004755B">
        <w:rPr>
          <w:rFonts w:ascii="Trebuchet MS" w:hAnsi="Trebuchet MS" w:cs="Arial"/>
          <w:color w:val="5F5F5F"/>
          <w:kern w:val="28"/>
          <w:sz w:val="20"/>
          <w:szCs w:val="20"/>
        </w:rPr>
        <w:t xml:space="preserve">immediati </w:t>
      </w:r>
      <w:r w:rsidR="004C31B9">
        <w:rPr>
          <w:rFonts w:ascii="Trebuchet MS" w:hAnsi="Trebuchet MS" w:cs="Arial"/>
          <w:color w:val="5F5F5F"/>
          <w:kern w:val="28"/>
          <w:sz w:val="20"/>
          <w:szCs w:val="20"/>
        </w:rPr>
        <w:t>e</w:t>
      </w:r>
      <w:r w:rsidR="0004755B">
        <w:rPr>
          <w:rFonts w:ascii="Trebuchet MS" w:hAnsi="Trebuchet MS" w:cs="Arial"/>
          <w:color w:val="5F5F5F"/>
          <w:kern w:val="28"/>
          <w:sz w:val="20"/>
          <w:szCs w:val="20"/>
        </w:rPr>
        <w:t xml:space="preserve"> il calo delle nascite</w:t>
      </w:r>
      <w:r w:rsidR="007A5978">
        <w:rPr>
          <w:rFonts w:ascii="Trebuchet MS" w:hAnsi="Trebuchet MS" w:cs="Arial"/>
          <w:color w:val="5F5F5F"/>
          <w:kern w:val="28"/>
          <w:sz w:val="20"/>
          <w:szCs w:val="20"/>
        </w:rPr>
        <w:t>,</w:t>
      </w:r>
      <w:r w:rsidR="0004755B">
        <w:rPr>
          <w:rFonts w:ascii="Trebuchet MS" w:hAnsi="Trebuchet MS" w:cs="Arial"/>
          <w:color w:val="5F5F5F"/>
          <w:kern w:val="28"/>
          <w:sz w:val="20"/>
          <w:szCs w:val="20"/>
        </w:rPr>
        <w:t xml:space="preserve"> registrato anche nel 2020</w:t>
      </w:r>
      <w:r w:rsidR="007A5978">
        <w:rPr>
          <w:rFonts w:ascii="Trebuchet MS" w:hAnsi="Trebuchet MS" w:cs="Arial"/>
          <w:color w:val="5F5F5F"/>
          <w:kern w:val="28"/>
          <w:sz w:val="20"/>
          <w:szCs w:val="20"/>
        </w:rPr>
        <w:t>,</w:t>
      </w:r>
      <w:r w:rsidR="0004755B">
        <w:rPr>
          <w:rFonts w:ascii="Trebuchet MS" w:hAnsi="Trebuchet MS" w:cs="Arial"/>
          <w:color w:val="5F5F5F"/>
          <w:kern w:val="28"/>
          <w:sz w:val="20"/>
          <w:szCs w:val="20"/>
        </w:rPr>
        <w:t xml:space="preserve"> è riconducibile </w:t>
      </w:r>
      <w:r w:rsidR="004C31B9">
        <w:rPr>
          <w:rFonts w:ascii="Trebuchet MS" w:hAnsi="Trebuchet MS" w:cs="Arial"/>
          <w:color w:val="5F5F5F"/>
          <w:kern w:val="28"/>
          <w:sz w:val="20"/>
          <w:szCs w:val="20"/>
        </w:rPr>
        <w:t xml:space="preserve">soprattutto a fattori pregressi, come </w:t>
      </w:r>
      <w:r w:rsidR="00DA4C5B">
        <w:rPr>
          <w:rFonts w:ascii="Trebuchet MS" w:hAnsi="Trebuchet MS" w:cs="Arial"/>
          <w:color w:val="5F5F5F"/>
          <w:kern w:val="28"/>
          <w:sz w:val="20"/>
          <w:szCs w:val="20"/>
        </w:rPr>
        <w:t xml:space="preserve">la </w:t>
      </w:r>
      <w:r w:rsidR="00977C7B">
        <w:rPr>
          <w:rFonts w:ascii="Trebuchet MS" w:hAnsi="Trebuchet MS" w:cs="Arial"/>
          <w:color w:val="5F5F5F"/>
          <w:kern w:val="28"/>
          <w:sz w:val="20"/>
          <w:szCs w:val="20"/>
        </w:rPr>
        <w:t>sistematica</w:t>
      </w:r>
      <w:r w:rsidR="00977C7B" w:rsidRPr="001A4BED">
        <w:rPr>
          <w:rFonts w:ascii="Trebuchet MS" w:hAnsi="Trebuchet MS" w:cs="Arial"/>
          <w:color w:val="5F5F5F"/>
          <w:kern w:val="28"/>
          <w:sz w:val="20"/>
          <w:szCs w:val="20"/>
        </w:rPr>
        <w:t xml:space="preserve"> </w:t>
      </w:r>
      <w:r w:rsidR="00DA4C5B" w:rsidRPr="001A4BED">
        <w:rPr>
          <w:rFonts w:ascii="Trebuchet MS" w:hAnsi="Trebuchet MS" w:cs="Arial"/>
          <w:color w:val="5F5F5F"/>
          <w:kern w:val="28"/>
          <w:sz w:val="20"/>
          <w:szCs w:val="20"/>
        </w:rPr>
        <w:t>riduzione della popolazione in età feconda</w:t>
      </w:r>
      <w:r w:rsidR="00DA4C5B">
        <w:rPr>
          <w:rFonts w:ascii="Trebuchet MS" w:hAnsi="Trebuchet MS" w:cs="Arial"/>
          <w:color w:val="5F5F5F"/>
          <w:kern w:val="28"/>
          <w:sz w:val="20"/>
          <w:szCs w:val="20"/>
        </w:rPr>
        <w:t>, la posticipazione nel progetto genitoriale</w:t>
      </w:r>
      <w:r w:rsidR="00DA4C5B" w:rsidRPr="001A4BED">
        <w:rPr>
          <w:rFonts w:ascii="Trebuchet MS" w:hAnsi="Trebuchet MS" w:cs="Arial"/>
          <w:color w:val="5F5F5F"/>
          <w:kern w:val="28"/>
          <w:sz w:val="20"/>
          <w:szCs w:val="20"/>
        </w:rPr>
        <w:t xml:space="preserve"> e </w:t>
      </w:r>
      <w:r w:rsidR="00DA4C5B">
        <w:rPr>
          <w:rFonts w:ascii="Trebuchet MS" w:hAnsi="Trebuchet MS" w:cs="Arial"/>
          <w:color w:val="5F5F5F"/>
          <w:kern w:val="28"/>
          <w:sz w:val="20"/>
          <w:szCs w:val="20"/>
        </w:rPr>
        <w:t xml:space="preserve">il </w:t>
      </w:r>
      <w:r w:rsidR="00DA4C5B" w:rsidRPr="001A4BED">
        <w:rPr>
          <w:rFonts w:ascii="Trebuchet MS" w:hAnsi="Trebuchet MS" w:cs="Arial"/>
          <w:color w:val="5F5F5F"/>
          <w:kern w:val="28"/>
          <w:sz w:val="20"/>
          <w:szCs w:val="20"/>
        </w:rPr>
        <w:t>clima di incertezza per il futuro</w:t>
      </w:r>
      <w:r w:rsidR="00DA4C5B">
        <w:rPr>
          <w:rFonts w:ascii="Trebuchet MS" w:hAnsi="Trebuchet MS" w:cs="Arial"/>
          <w:color w:val="5F5F5F"/>
          <w:kern w:val="28"/>
          <w:sz w:val="20"/>
          <w:szCs w:val="20"/>
        </w:rPr>
        <w:t>.</w:t>
      </w:r>
      <w:r>
        <w:rPr>
          <w:rFonts w:ascii="Trebuchet MS" w:hAnsi="Trebuchet MS" w:cs="Arial"/>
          <w:color w:val="5F5F5F"/>
          <w:kern w:val="28"/>
          <w:sz w:val="20"/>
          <w:szCs w:val="20"/>
        </w:rPr>
        <w:t xml:space="preserve"> </w:t>
      </w:r>
      <w:r w:rsidR="00977C7B">
        <w:rPr>
          <w:rFonts w:ascii="Trebuchet MS" w:hAnsi="Trebuchet MS" w:cs="Arial"/>
          <w:color w:val="5F5F5F"/>
          <w:kern w:val="28"/>
          <w:sz w:val="20"/>
          <w:szCs w:val="20"/>
        </w:rPr>
        <w:t>Tra il 2019 e il 2020 i</w:t>
      </w:r>
      <w:r>
        <w:rPr>
          <w:rFonts w:ascii="Trebuchet MS" w:hAnsi="Trebuchet MS" w:cs="Arial"/>
          <w:color w:val="5F5F5F"/>
          <w:kern w:val="28"/>
          <w:sz w:val="20"/>
          <w:szCs w:val="20"/>
        </w:rPr>
        <w:t>l tasso</w:t>
      </w:r>
      <w:r w:rsidR="00977C7B">
        <w:rPr>
          <w:rFonts w:ascii="Trebuchet MS" w:hAnsi="Trebuchet MS" w:cs="Arial"/>
          <w:color w:val="5F5F5F"/>
          <w:kern w:val="28"/>
          <w:sz w:val="20"/>
          <w:szCs w:val="20"/>
        </w:rPr>
        <w:t xml:space="preserve"> di natalità</w:t>
      </w:r>
      <w:r>
        <w:rPr>
          <w:rFonts w:ascii="Trebuchet MS" w:hAnsi="Trebuchet MS" w:cs="Arial"/>
          <w:color w:val="5F5F5F"/>
          <w:kern w:val="28"/>
          <w:sz w:val="20"/>
          <w:szCs w:val="20"/>
        </w:rPr>
        <w:t xml:space="preserve"> è </w:t>
      </w:r>
      <w:r w:rsidR="00C62A02">
        <w:rPr>
          <w:rFonts w:ascii="Trebuchet MS" w:hAnsi="Trebuchet MS" w:cs="Arial"/>
          <w:color w:val="5F5F5F"/>
          <w:kern w:val="28"/>
          <w:sz w:val="20"/>
          <w:szCs w:val="20"/>
        </w:rPr>
        <w:t>sceso</w:t>
      </w:r>
      <w:r>
        <w:rPr>
          <w:rFonts w:ascii="Trebuchet MS" w:hAnsi="Trebuchet MS" w:cs="Arial"/>
          <w:color w:val="5F5F5F"/>
          <w:kern w:val="28"/>
          <w:sz w:val="20"/>
          <w:szCs w:val="20"/>
        </w:rPr>
        <w:t xml:space="preserve"> dal 6,</w:t>
      </w:r>
      <w:r w:rsidR="003919C5">
        <w:rPr>
          <w:rFonts w:ascii="Trebuchet MS" w:hAnsi="Trebuchet MS" w:cs="Arial"/>
          <w:color w:val="5F5F5F"/>
          <w:kern w:val="28"/>
          <w:sz w:val="20"/>
          <w:szCs w:val="20"/>
        </w:rPr>
        <w:t>6</w:t>
      </w:r>
      <w:r>
        <w:rPr>
          <w:rFonts w:ascii="Trebuchet MS" w:hAnsi="Trebuchet MS" w:cs="Arial"/>
          <w:color w:val="5F5F5F"/>
          <w:kern w:val="28"/>
          <w:sz w:val="20"/>
          <w:szCs w:val="20"/>
        </w:rPr>
        <w:t xml:space="preserve"> al 6,</w:t>
      </w:r>
      <w:r w:rsidR="003919C5">
        <w:rPr>
          <w:rFonts w:ascii="Trebuchet MS" w:hAnsi="Trebuchet MS" w:cs="Arial"/>
          <w:color w:val="5F5F5F"/>
          <w:kern w:val="28"/>
          <w:sz w:val="20"/>
          <w:szCs w:val="20"/>
        </w:rPr>
        <w:t>4</w:t>
      </w:r>
      <w:r>
        <w:rPr>
          <w:rFonts w:ascii="Trebuchet MS" w:hAnsi="Trebuchet MS" w:cs="Arial"/>
          <w:color w:val="5F5F5F"/>
          <w:kern w:val="28"/>
          <w:sz w:val="20"/>
          <w:szCs w:val="20"/>
        </w:rPr>
        <w:t xml:space="preserve"> per mille, </w:t>
      </w:r>
      <w:r w:rsidR="00977C7B">
        <w:rPr>
          <w:rFonts w:ascii="Trebuchet MS" w:hAnsi="Trebuchet MS" w:cs="Arial"/>
          <w:color w:val="5F5F5F"/>
          <w:kern w:val="28"/>
          <w:sz w:val="20"/>
          <w:szCs w:val="20"/>
        </w:rPr>
        <w:t xml:space="preserve">con un calo </w:t>
      </w:r>
      <w:r w:rsidR="003919C5">
        <w:rPr>
          <w:rFonts w:ascii="Trebuchet MS" w:hAnsi="Trebuchet MS" w:cs="Arial"/>
          <w:color w:val="5F5F5F"/>
          <w:kern w:val="28"/>
          <w:sz w:val="20"/>
          <w:szCs w:val="20"/>
        </w:rPr>
        <w:t>più significativo</w:t>
      </w:r>
      <w:r w:rsidR="00977C7B">
        <w:rPr>
          <w:rFonts w:ascii="Trebuchet MS" w:hAnsi="Trebuchet MS" w:cs="Arial"/>
          <w:color w:val="5F5F5F"/>
          <w:kern w:val="28"/>
          <w:sz w:val="20"/>
          <w:szCs w:val="20"/>
        </w:rPr>
        <w:t xml:space="preserve"> </w:t>
      </w:r>
      <w:r>
        <w:rPr>
          <w:rFonts w:ascii="Trebuchet MS" w:hAnsi="Trebuchet MS" w:cs="Arial"/>
          <w:color w:val="5F5F5F"/>
          <w:kern w:val="28"/>
          <w:sz w:val="20"/>
          <w:szCs w:val="20"/>
        </w:rPr>
        <w:t xml:space="preserve">nella provincia di </w:t>
      </w:r>
      <w:r w:rsidR="003919C5">
        <w:rPr>
          <w:rFonts w:ascii="Trebuchet MS" w:hAnsi="Trebuchet MS" w:cs="Arial"/>
          <w:color w:val="5F5F5F"/>
          <w:kern w:val="28"/>
          <w:sz w:val="20"/>
          <w:szCs w:val="20"/>
        </w:rPr>
        <w:t>Matera</w:t>
      </w:r>
      <w:r>
        <w:rPr>
          <w:rFonts w:ascii="Trebuchet MS" w:hAnsi="Trebuchet MS" w:cs="Arial"/>
          <w:color w:val="5F5F5F"/>
          <w:kern w:val="28"/>
          <w:sz w:val="20"/>
          <w:szCs w:val="20"/>
        </w:rPr>
        <w:t xml:space="preserve"> (da 6,</w:t>
      </w:r>
      <w:r w:rsidR="003919C5">
        <w:rPr>
          <w:rFonts w:ascii="Trebuchet MS" w:hAnsi="Trebuchet MS" w:cs="Arial"/>
          <w:color w:val="5F5F5F"/>
          <w:kern w:val="28"/>
          <w:sz w:val="20"/>
          <w:szCs w:val="20"/>
        </w:rPr>
        <w:t>8</w:t>
      </w:r>
      <w:r>
        <w:rPr>
          <w:rFonts w:ascii="Trebuchet MS" w:hAnsi="Trebuchet MS" w:cs="Arial"/>
          <w:color w:val="5F5F5F"/>
          <w:kern w:val="28"/>
          <w:sz w:val="20"/>
          <w:szCs w:val="20"/>
        </w:rPr>
        <w:t xml:space="preserve"> a 6,</w:t>
      </w:r>
      <w:r w:rsidR="003919C5">
        <w:rPr>
          <w:rFonts w:ascii="Trebuchet MS" w:hAnsi="Trebuchet MS" w:cs="Arial"/>
          <w:color w:val="5F5F5F"/>
          <w:kern w:val="28"/>
          <w:sz w:val="20"/>
          <w:szCs w:val="20"/>
        </w:rPr>
        <w:t>5</w:t>
      </w:r>
      <w:r>
        <w:rPr>
          <w:rFonts w:ascii="Trebuchet MS" w:hAnsi="Trebuchet MS" w:cs="Arial"/>
          <w:color w:val="5F5F5F"/>
          <w:kern w:val="28"/>
          <w:sz w:val="20"/>
          <w:szCs w:val="20"/>
        </w:rPr>
        <w:t xml:space="preserve"> per mille)</w:t>
      </w:r>
      <w:r w:rsidR="00C62A02">
        <w:rPr>
          <w:rFonts w:ascii="Trebuchet MS" w:hAnsi="Trebuchet MS" w:cs="Arial"/>
          <w:color w:val="5F5F5F"/>
          <w:kern w:val="28"/>
          <w:sz w:val="20"/>
          <w:szCs w:val="20"/>
        </w:rPr>
        <w:t xml:space="preserve"> (Prospetto 3)</w:t>
      </w:r>
      <w:r>
        <w:rPr>
          <w:rFonts w:ascii="Trebuchet MS" w:hAnsi="Trebuchet MS" w:cs="Arial"/>
          <w:color w:val="5F5F5F"/>
          <w:kern w:val="28"/>
          <w:sz w:val="20"/>
          <w:szCs w:val="20"/>
        </w:rPr>
        <w:t>.</w:t>
      </w:r>
    </w:p>
    <w:p w14:paraId="04AA0782" w14:textId="03B8003A" w:rsidR="008547E6" w:rsidRDefault="008547E6" w:rsidP="008547E6">
      <w:pPr>
        <w:autoSpaceDE w:val="0"/>
        <w:autoSpaceDN w:val="0"/>
        <w:adjustRightInd w:val="0"/>
        <w:spacing w:after="100"/>
        <w:jc w:val="both"/>
        <w:rPr>
          <w:rFonts w:ascii="Trebuchet MS" w:hAnsi="Trebuchet MS" w:cs="Arial"/>
          <w:color w:val="5F5F5F"/>
          <w:kern w:val="28"/>
          <w:sz w:val="20"/>
          <w:szCs w:val="20"/>
        </w:rPr>
      </w:pPr>
      <w:r w:rsidRPr="001A4BED">
        <w:rPr>
          <w:rFonts w:ascii="Trebuchet MS" w:hAnsi="Trebuchet MS" w:cs="Arial"/>
          <w:color w:val="5F5F5F"/>
          <w:kern w:val="28"/>
          <w:sz w:val="20"/>
          <w:szCs w:val="20"/>
        </w:rPr>
        <w:t>I movimenti tra comuni</w:t>
      </w:r>
      <w:r>
        <w:rPr>
          <w:rFonts w:ascii="Trebuchet MS" w:hAnsi="Trebuchet MS" w:cs="Arial"/>
          <w:color w:val="5F5F5F"/>
          <w:kern w:val="28"/>
          <w:sz w:val="20"/>
          <w:szCs w:val="20"/>
        </w:rPr>
        <w:t xml:space="preserve"> </w:t>
      </w:r>
      <w:r w:rsidRPr="001A4BED">
        <w:rPr>
          <w:rFonts w:ascii="Trebuchet MS" w:hAnsi="Trebuchet MS" w:cs="Arial"/>
          <w:color w:val="5F5F5F"/>
          <w:kern w:val="28"/>
          <w:sz w:val="20"/>
          <w:szCs w:val="20"/>
        </w:rPr>
        <w:t xml:space="preserve">si sono ridotti drasticamente durante la prima ondata dell’epidemia, a causa del </w:t>
      </w:r>
      <w:r w:rsidRPr="00D43B4B">
        <w:rPr>
          <w:rFonts w:ascii="Trebuchet MS" w:hAnsi="Trebuchet MS" w:cs="Arial"/>
          <w:i/>
          <w:iCs/>
          <w:color w:val="5F5F5F"/>
          <w:kern w:val="28"/>
          <w:sz w:val="20"/>
          <w:szCs w:val="20"/>
        </w:rPr>
        <w:t>lockdown</w:t>
      </w:r>
      <w:r w:rsidRPr="001A4BED">
        <w:rPr>
          <w:rFonts w:ascii="Trebuchet MS" w:hAnsi="Trebuchet MS" w:cs="Arial"/>
          <w:color w:val="5F5F5F"/>
          <w:kern w:val="28"/>
          <w:sz w:val="20"/>
          <w:szCs w:val="20"/>
        </w:rPr>
        <w:t xml:space="preserve"> di marzo che ha ridotto al minimo la mobilità residenziale, per poi riprendere nei mesi successivi durante i quali, senza blocchi generalizzati agli spostamenti, si è tornati </w:t>
      </w:r>
      <w:r>
        <w:rPr>
          <w:rFonts w:ascii="Trebuchet MS" w:hAnsi="Trebuchet MS" w:cs="Arial"/>
          <w:color w:val="5F5F5F"/>
          <w:kern w:val="28"/>
          <w:sz w:val="20"/>
          <w:szCs w:val="20"/>
        </w:rPr>
        <w:t xml:space="preserve">sostanzialmente </w:t>
      </w:r>
      <w:r w:rsidRPr="001A4BED">
        <w:rPr>
          <w:rFonts w:ascii="Trebuchet MS" w:hAnsi="Trebuchet MS" w:cs="Arial"/>
          <w:color w:val="5F5F5F"/>
          <w:kern w:val="28"/>
          <w:sz w:val="20"/>
          <w:szCs w:val="20"/>
        </w:rPr>
        <w:t xml:space="preserve">ai livelli </w:t>
      </w:r>
      <w:proofErr w:type="spellStart"/>
      <w:r w:rsidRPr="001A4BED">
        <w:rPr>
          <w:rFonts w:ascii="Trebuchet MS" w:hAnsi="Trebuchet MS" w:cs="Arial"/>
          <w:color w:val="5F5F5F"/>
          <w:kern w:val="28"/>
          <w:sz w:val="20"/>
          <w:szCs w:val="20"/>
        </w:rPr>
        <w:t>pre-Covid</w:t>
      </w:r>
      <w:proofErr w:type="spellEnd"/>
      <w:r w:rsidRPr="001A4BED">
        <w:rPr>
          <w:rFonts w:ascii="Trebuchet MS" w:hAnsi="Trebuchet MS" w:cs="Arial"/>
          <w:color w:val="5F5F5F"/>
          <w:kern w:val="28"/>
          <w:sz w:val="20"/>
          <w:szCs w:val="20"/>
        </w:rPr>
        <w:t>. Il tasso migratorio interno</w:t>
      </w:r>
      <w:r w:rsidR="00AB33C6">
        <w:rPr>
          <w:rFonts w:ascii="Trebuchet MS" w:hAnsi="Trebuchet MS" w:cs="Arial"/>
          <w:color w:val="5F5F5F"/>
          <w:kern w:val="28"/>
          <w:sz w:val="20"/>
          <w:szCs w:val="20"/>
        </w:rPr>
        <w:t xml:space="preserve"> </w:t>
      </w:r>
      <w:r w:rsidR="009A1D80">
        <w:rPr>
          <w:rFonts w:ascii="Trebuchet MS" w:hAnsi="Trebuchet MS" w:cs="Arial"/>
          <w:color w:val="5F5F5F"/>
          <w:kern w:val="28"/>
          <w:sz w:val="20"/>
          <w:szCs w:val="20"/>
        </w:rPr>
        <w:t>d</w:t>
      </w:r>
      <w:r w:rsidR="00AB33C6">
        <w:rPr>
          <w:rFonts w:ascii="Trebuchet MS" w:hAnsi="Trebuchet MS" w:cs="Arial"/>
          <w:color w:val="5F5F5F"/>
          <w:kern w:val="28"/>
          <w:sz w:val="20"/>
          <w:szCs w:val="20"/>
        </w:rPr>
        <w:t>el 2020, pari mediamente a</w:t>
      </w:r>
      <w:r w:rsidR="003919C5">
        <w:rPr>
          <w:rFonts w:ascii="Trebuchet MS" w:hAnsi="Trebuchet MS" w:cs="Arial"/>
          <w:color w:val="5F5F5F"/>
          <w:kern w:val="28"/>
          <w:sz w:val="20"/>
          <w:szCs w:val="20"/>
        </w:rPr>
        <w:t xml:space="preserve"> -4,6</w:t>
      </w:r>
      <w:r w:rsidR="00AB33C6">
        <w:rPr>
          <w:rFonts w:ascii="Trebuchet MS" w:hAnsi="Trebuchet MS" w:cs="Arial"/>
          <w:color w:val="5F5F5F"/>
          <w:kern w:val="28"/>
          <w:sz w:val="20"/>
          <w:szCs w:val="20"/>
        </w:rPr>
        <w:t xml:space="preserve"> per mille,</w:t>
      </w:r>
      <w:r w:rsidRPr="001A4BED">
        <w:rPr>
          <w:rFonts w:ascii="Trebuchet MS" w:hAnsi="Trebuchet MS" w:cs="Arial"/>
          <w:color w:val="5F5F5F"/>
          <w:kern w:val="28"/>
          <w:sz w:val="20"/>
          <w:szCs w:val="20"/>
        </w:rPr>
        <w:t xml:space="preserve"> oscilla tra</w:t>
      </w:r>
      <w:r w:rsidR="003919C5">
        <w:rPr>
          <w:rFonts w:ascii="Trebuchet MS" w:hAnsi="Trebuchet MS" w:cs="Arial"/>
          <w:color w:val="5F5F5F"/>
          <w:kern w:val="28"/>
          <w:sz w:val="20"/>
          <w:szCs w:val="20"/>
        </w:rPr>
        <w:t xml:space="preserve"> -4,0 </w:t>
      </w:r>
      <w:r>
        <w:rPr>
          <w:rFonts w:ascii="Trebuchet MS" w:hAnsi="Trebuchet MS" w:cs="Arial"/>
          <w:color w:val="5F5F5F"/>
          <w:kern w:val="28"/>
          <w:sz w:val="20"/>
          <w:szCs w:val="20"/>
        </w:rPr>
        <w:t xml:space="preserve">per mille della provincia di </w:t>
      </w:r>
      <w:r w:rsidR="003919C5">
        <w:rPr>
          <w:rFonts w:ascii="Trebuchet MS" w:hAnsi="Trebuchet MS" w:cs="Arial"/>
          <w:color w:val="5F5F5F"/>
          <w:kern w:val="28"/>
          <w:sz w:val="20"/>
          <w:szCs w:val="20"/>
        </w:rPr>
        <w:t>Matera</w:t>
      </w:r>
      <w:r>
        <w:rPr>
          <w:rFonts w:ascii="Trebuchet MS" w:hAnsi="Trebuchet MS" w:cs="Arial"/>
          <w:color w:val="5F5F5F"/>
          <w:kern w:val="28"/>
          <w:sz w:val="20"/>
          <w:szCs w:val="20"/>
        </w:rPr>
        <w:t xml:space="preserve"> e </w:t>
      </w:r>
      <w:r w:rsidR="003919C5">
        <w:rPr>
          <w:rFonts w:ascii="Trebuchet MS" w:hAnsi="Trebuchet MS" w:cs="Arial"/>
          <w:color w:val="5F5F5F"/>
          <w:kern w:val="28"/>
          <w:sz w:val="20"/>
          <w:szCs w:val="20"/>
        </w:rPr>
        <w:t>-4,9</w:t>
      </w:r>
      <w:r>
        <w:rPr>
          <w:rFonts w:ascii="Trebuchet MS" w:hAnsi="Trebuchet MS" w:cs="Arial"/>
          <w:color w:val="5F5F5F"/>
          <w:kern w:val="28"/>
          <w:sz w:val="20"/>
          <w:szCs w:val="20"/>
        </w:rPr>
        <w:t xml:space="preserve"> </w:t>
      </w:r>
      <w:r w:rsidR="00C3698B">
        <w:rPr>
          <w:rFonts w:ascii="Trebuchet MS" w:hAnsi="Trebuchet MS" w:cs="Arial"/>
          <w:color w:val="5F5F5F"/>
          <w:kern w:val="28"/>
          <w:sz w:val="20"/>
          <w:szCs w:val="20"/>
        </w:rPr>
        <w:t>di</w:t>
      </w:r>
      <w:r>
        <w:rPr>
          <w:rFonts w:ascii="Trebuchet MS" w:hAnsi="Trebuchet MS" w:cs="Arial"/>
          <w:color w:val="5F5F5F"/>
          <w:kern w:val="28"/>
          <w:sz w:val="20"/>
          <w:szCs w:val="20"/>
        </w:rPr>
        <w:t xml:space="preserve"> </w:t>
      </w:r>
      <w:r w:rsidR="003919C5">
        <w:rPr>
          <w:rFonts w:ascii="Trebuchet MS" w:hAnsi="Trebuchet MS" w:cs="Arial"/>
          <w:color w:val="5F5F5F"/>
          <w:kern w:val="28"/>
          <w:sz w:val="20"/>
          <w:szCs w:val="20"/>
        </w:rPr>
        <w:t>Potenz</w:t>
      </w:r>
      <w:r w:rsidR="0029715A">
        <w:rPr>
          <w:rFonts w:ascii="Trebuchet MS" w:hAnsi="Trebuchet MS" w:cs="Arial"/>
          <w:color w:val="5F5F5F"/>
          <w:kern w:val="28"/>
          <w:sz w:val="20"/>
          <w:szCs w:val="20"/>
        </w:rPr>
        <w:t>a</w:t>
      </w:r>
      <w:r>
        <w:rPr>
          <w:rFonts w:ascii="Trebuchet MS" w:hAnsi="Trebuchet MS" w:cs="Arial"/>
          <w:color w:val="5F5F5F"/>
          <w:kern w:val="28"/>
          <w:sz w:val="20"/>
          <w:szCs w:val="20"/>
        </w:rPr>
        <w:t>.</w:t>
      </w:r>
    </w:p>
    <w:p w14:paraId="09EEB2F6" w14:textId="67764E6D" w:rsidR="00AE59C4" w:rsidRDefault="0029715A" w:rsidP="008547E6">
      <w:pPr>
        <w:autoSpaceDE w:val="0"/>
        <w:autoSpaceDN w:val="0"/>
        <w:adjustRightInd w:val="0"/>
        <w:spacing w:after="100"/>
        <w:jc w:val="both"/>
        <w:rPr>
          <w:rFonts w:ascii="Trebuchet MS" w:hAnsi="Trebuchet MS" w:cs="Arial"/>
          <w:color w:val="5F5F5F"/>
          <w:kern w:val="28"/>
          <w:sz w:val="20"/>
          <w:szCs w:val="20"/>
        </w:rPr>
      </w:pPr>
      <w:r>
        <w:rPr>
          <w:rFonts w:ascii="Trebuchet MS" w:hAnsi="Trebuchet MS" w:cs="Arial"/>
          <w:color w:val="5F5F5F"/>
          <w:kern w:val="28"/>
          <w:sz w:val="20"/>
          <w:szCs w:val="20"/>
        </w:rPr>
        <w:t xml:space="preserve">Ci sono state </w:t>
      </w:r>
      <w:r w:rsidR="008547E6" w:rsidRPr="001A4BED">
        <w:rPr>
          <w:rFonts w:ascii="Trebuchet MS" w:hAnsi="Trebuchet MS" w:cs="Arial"/>
          <w:color w:val="5F5F5F"/>
          <w:kern w:val="28"/>
          <w:sz w:val="20"/>
          <w:szCs w:val="20"/>
        </w:rPr>
        <w:t xml:space="preserve">ripercussioni </w:t>
      </w:r>
      <w:r>
        <w:rPr>
          <w:rFonts w:ascii="Trebuchet MS" w:hAnsi="Trebuchet MS" w:cs="Arial"/>
          <w:color w:val="5F5F5F"/>
          <w:kern w:val="28"/>
          <w:sz w:val="20"/>
          <w:szCs w:val="20"/>
        </w:rPr>
        <w:t xml:space="preserve">anche </w:t>
      </w:r>
      <w:r w:rsidR="008547E6" w:rsidRPr="001A4BED">
        <w:rPr>
          <w:rFonts w:ascii="Trebuchet MS" w:hAnsi="Trebuchet MS" w:cs="Arial"/>
          <w:color w:val="5F5F5F"/>
          <w:kern w:val="28"/>
          <w:sz w:val="20"/>
          <w:szCs w:val="20"/>
        </w:rPr>
        <w:t xml:space="preserve">sui movimenti migratori internazionali. Il tasso migratorio estero, </w:t>
      </w:r>
      <w:r w:rsidR="008547E6">
        <w:rPr>
          <w:rFonts w:ascii="Trebuchet MS" w:hAnsi="Trebuchet MS" w:cs="Arial"/>
          <w:color w:val="5F5F5F"/>
          <w:kern w:val="28"/>
          <w:sz w:val="20"/>
          <w:szCs w:val="20"/>
        </w:rPr>
        <w:t>pur rimanendo</w:t>
      </w:r>
      <w:r w:rsidR="008547E6" w:rsidRPr="001A4BED">
        <w:rPr>
          <w:rFonts w:ascii="Trebuchet MS" w:hAnsi="Trebuchet MS" w:cs="Arial"/>
          <w:color w:val="5F5F5F"/>
          <w:kern w:val="28"/>
          <w:sz w:val="20"/>
          <w:szCs w:val="20"/>
        </w:rPr>
        <w:t xml:space="preserve"> positivo in tutte le </w:t>
      </w:r>
      <w:r w:rsidR="008547E6">
        <w:rPr>
          <w:rFonts w:ascii="Trebuchet MS" w:hAnsi="Trebuchet MS" w:cs="Arial"/>
          <w:color w:val="5F5F5F"/>
          <w:kern w:val="28"/>
          <w:sz w:val="20"/>
          <w:szCs w:val="20"/>
        </w:rPr>
        <w:t>province</w:t>
      </w:r>
      <w:r w:rsidR="008547E6" w:rsidRPr="001A4BED">
        <w:rPr>
          <w:rFonts w:ascii="Trebuchet MS" w:hAnsi="Trebuchet MS" w:cs="Arial"/>
          <w:color w:val="5F5F5F"/>
          <w:kern w:val="28"/>
          <w:sz w:val="20"/>
          <w:szCs w:val="20"/>
        </w:rPr>
        <w:t xml:space="preserve">, si riduce rispetto al 2019 </w:t>
      </w:r>
      <w:r w:rsidR="008547E6">
        <w:rPr>
          <w:rFonts w:ascii="Trebuchet MS" w:hAnsi="Trebuchet MS" w:cs="Arial"/>
          <w:color w:val="5F5F5F"/>
          <w:kern w:val="28"/>
          <w:sz w:val="20"/>
          <w:szCs w:val="20"/>
        </w:rPr>
        <w:t>(da</w:t>
      </w:r>
      <w:r w:rsidR="003A0F52">
        <w:rPr>
          <w:rFonts w:ascii="Trebuchet MS" w:hAnsi="Trebuchet MS" w:cs="Arial"/>
          <w:color w:val="5F5F5F"/>
          <w:kern w:val="28"/>
          <w:sz w:val="20"/>
          <w:szCs w:val="20"/>
        </w:rPr>
        <w:t xml:space="preserve"> </w:t>
      </w:r>
      <w:r>
        <w:rPr>
          <w:rFonts w:ascii="Trebuchet MS" w:hAnsi="Trebuchet MS" w:cs="Arial"/>
          <w:color w:val="5F5F5F"/>
          <w:kern w:val="28"/>
          <w:sz w:val="20"/>
          <w:szCs w:val="20"/>
        </w:rPr>
        <w:t>1,4</w:t>
      </w:r>
      <w:r w:rsidR="008547E6">
        <w:rPr>
          <w:rFonts w:ascii="Trebuchet MS" w:hAnsi="Trebuchet MS" w:cs="Arial"/>
          <w:color w:val="5F5F5F"/>
          <w:kern w:val="28"/>
          <w:sz w:val="20"/>
          <w:szCs w:val="20"/>
        </w:rPr>
        <w:t xml:space="preserve"> a </w:t>
      </w:r>
      <w:r>
        <w:rPr>
          <w:rFonts w:ascii="Trebuchet MS" w:hAnsi="Trebuchet MS" w:cs="Arial"/>
          <w:color w:val="5F5F5F"/>
          <w:kern w:val="28"/>
          <w:sz w:val="20"/>
          <w:szCs w:val="20"/>
        </w:rPr>
        <w:t>1,1</w:t>
      </w:r>
      <w:r w:rsidR="008547E6">
        <w:rPr>
          <w:rFonts w:ascii="Trebuchet MS" w:hAnsi="Trebuchet MS" w:cs="Arial"/>
          <w:color w:val="5F5F5F"/>
          <w:kern w:val="28"/>
          <w:sz w:val="20"/>
          <w:szCs w:val="20"/>
        </w:rPr>
        <w:t xml:space="preserve"> per mille). </w:t>
      </w:r>
    </w:p>
    <w:p w14:paraId="606FB9A8" w14:textId="14F9DDF1" w:rsidR="007E75F4" w:rsidRDefault="007E75F4">
      <w:pPr>
        <w:rPr>
          <w:rFonts w:ascii="Trebuchet MS" w:hAnsi="Trebuchet MS" w:cs="Arial"/>
          <w:color w:val="5F5F5F"/>
          <w:kern w:val="28"/>
          <w:sz w:val="20"/>
          <w:szCs w:val="20"/>
        </w:rPr>
      </w:pPr>
      <w:r>
        <w:rPr>
          <w:rFonts w:ascii="Trebuchet MS" w:hAnsi="Trebuchet MS" w:cs="Arial"/>
          <w:color w:val="5F5F5F"/>
          <w:kern w:val="28"/>
          <w:sz w:val="20"/>
          <w:szCs w:val="20"/>
        </w:rPr>
        <w:br w:type="page"/>
      </w:r>
    </w:p>
    <w:p w14:paraId="0490DF28" w14:textId="4B7C76EB" w:rsidR="009B4983" w:rsidRPr="00047761" w:rsidRDefault="009B4983" w:rsidP="009B4983">
      <w:pPr>
        <w:spacing w:after="120"/>
        <w:jc w:val="both"/>
        <w:rPr>
          <w:rFonts w:ascii="Trebuchet MS" w:hAnsi="Trebuchet MS" w:cs="Arial"/>
          <w:b/>
          <w:color w:val="595959" w:themeColor="text1" w:themeTint="A6"/>
          <w:sz w:val="21"/>
          <w:szCs w:val="21"/>
        </w:rPr>
      </w:pPr>
      <w:r w:rsidRPr="00047761">
        <w:rPr>
          <w:rFonts w:ascii="Arial Narrow" w:hAnsi="Arial Narrow" w:cs="Calibri"/>
          <w:b/>
          <w:bCs/>
          <w:color w:val="595959" w:themeColor="text1" w:themeTint="A6"/>
          <w:sz w:val="22"/>
          <w:szCs w:val="22"/>
        </w:rPr>
        <w:lastRenderedPageBreak/>
        <w:t xml:space="preserve">PROSPETTO 3. </w:t>
      </w:r>
      <w:r w:rsidRPr="00047761">
        <w:rPr>
          <w:rFonts w:ascii="Arial Narrow" w:hAnsi="Arial Narrow" w:cs="Calibri"/>
          <w:color w:val="595959" w:themeColor="text1" w:themeTint="A6"/>
          <w:sz w:val="22"/>
          <w:szCs w:val="22"/>
        </w:rPr>
        <w:t xml:space="preserve">TASSI DI NATALITÀ, MORTALITÀ’ E MIGRATORIETÀ’ INTERNA ED ESTERA PER PROVINCIA. </w:t>
      </w:r>
      <w:r w:rsidR="002C7038">
        <w:rPr>
          <w:rFonts w:ascii="Arial Narrow" w:hAnsi="Arial Narrow" w:cs="Calibri"/>
          <w:color w:val="595959" w:themeColor="text1" w:themeTint="A6"/>
          <w:sz w:val="22"/>
          <w:szCs w:val="22"/>
        </w:rPr>
        <w:t xml:space="preserve">Anni </w:t>
      </w:r>
      <w:r w:rsidRPr="00047761">
        <w:rPr>
          <w:rFonts w:ascii="Arial Narrow" w:hAnsi="Arial Narrow" w:cs="Calibri"/>
          <w:color w:val="595959" w:themeColor="text1" w:themeTint="A6"/>
          <w:sz w:val="22"/>
          <w:szCs w:val="22"/>
        </w:rPr>
        <w:t>2019 e 2020. Valori per mille</w:t>
      </w:r>
    </w:p>
    <w:tbl>
      <w:tblPr>
        <w:tblW w:w="9640" w:type="dxa"/>
        <w:tblCellMar>
          <w:left w:w="70" w:type="dxa"/>
          <w:right w:w="70" w:type="dxa"/>
        </w:tblCellMar>
        <w:tblLook w:val="04A0" w:firstRow="1" w:lastRow="0" w:firstColumn="1" w:lastColumn="0" w:noHBand="0" w:noVBand="1"/>
      </w:tblPr>
      <w:tblGrid>
        <w:gridCol w:w="1800"/>
        <w:gridCol w:w="980"/>
        <w:gridCol w:w="980"/>
        <w:gridCol w:w="980"/>
        <w:gridCol w:w="980"/>
        <w:gridCol w:w="980"/>
        <w:gridCol w:w="980"/>
        <w:gridCol w:w="980"/>
        <w:gridCol w:w="980"/>
      </w:tblGrid>
      <w:tr w:rsidR="005B1F48" w14:paraId="749834B0" w14:textId="77777777" w:rsidTr="005B1F48">
        <w:trPr>
          <w:trHeight w:val="300"/>
        </w:trPr>
        <w:tc>
          <w:tcPr>
            <w:tcW w:w="1800" w:type="dxa"/>
            <w:vMerge w:val="restart"/>
            <w:tcBorders>
              <w:top w:val="single" w:sz="4" w:space="0" w:color="auto"/>
              <w:left w:val="nil"/>
              <w:bottom w:val="single" w:sz="4" w:space="0" w:color="auto"/>
              <w:right w:val="nil"/>
            </w:tcBorders>
            <w:shd w:val="clear" w:color="auto" w:fill="auto"/>
            <w:vAlign w:val="center"/>
            <w:hideMark/>
          </w:tcPr>
          <w:p w14:paraId="65505A4D" w14:textId="77777777" w:rsidR="005B1F48" w:rsidRDefault="005B1F48">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960" w:type="dxa"/>
            <w:gridSpan w:val="2"/>
            <w:tcBorders>
              <w:top w:val="single" w:sz="4" w:space="0" w:color="auto"/>
              <w:left w:val="nil"/>
              <w:bottom w:val="single" w:sz="4" w:space="0" w:color="auto"/>
              <w:right w:val="nil"/>
            </w:tcBorders>
            <w:shd w:val="clear" w:color="000000" w:fill="D9D9D9"/>
            <w:noWrap/>
            <w:vAlign w:val="center"/>
            <w:hideMark/>
          </w:tcPr>
          <w:p w14:paraId="56A5344E" w14:textId="77777777" w:rsidR="005B1F48" w:rsidRDefault="005B1F48">
            <w:pPr>
              <w:jc w:val="center"/>
              <w:rPr>
                <w:rFonts w:ascii="Arial Narrow" w:hAnsi="Arial Narrow" w:cs="Calibri"/>
                <w:b/>
                <w:bCs/>
                <w:color w:val="000000"/>
                <w:sz w:val="18"/>
                <w:szCs w:val="18"/>
              </w:rPr>
            </w:pPr>
            <w:r>
              <w:rPr>
                <w:rFonts w:ascii="Arial Narrow" w:hAnsi="Arial Narrow" w:cs="Calibri"/>
                <w:b/>
                <w:bCs/>
                <w:color w:val="000000"/>
                <w:sz w:val="18"/>
                <w:szCs w:val="18"/>
              </w:rPr>
              <w:t>Tasso natalità</w:t>
            </w:r>
          </w:p>
        </w:tc>
        <w:tc>
          <w:tcPr>
            <w:tcW w:w="1960" w:type="dxa"/>
            <w:gridSpan w:val="2"/>
            <w:tcBorders>
              <w:top w:val="single" w:sz="4" w:space="0" w:color="auto"/>
              <w:left w:val="nil"/>
              <w:bottom w:val="single" w:sz="4" w:space="0" w:color="auto"/>
              <w:right w:val="nil"/>
            </w:tcBorders>
            <w:shd w:val="clear" w:color="000000" w:fill="FFFFFF"/>
            <w:noWrap/>
            <w:vAlign w:val="center"/>
            <w:hideMark/>
          </w:tcPr>
          <w:p w14:paraId="1AD4899A" w14:textId="77777777" w:rsidR="005B1F48" w:rsidRDefault="005B1F48">
            <w:pPr>
              <w:jc w:val="center"/>
              <w:rPr>
                <w:rFonts w:ascii="Arial Narrow" w:hAnsi="Arial Narrow" w:cs="Calibri"/>
                <w:b/>
                <w:bCs/>
                <w:color w:val="000000"/>
                <w:sz w:val="18"/>
                <w:szCs w:val="18"/>
              </w:rPr>
            </w:pPr>
            <w:r>
              <w:rPr>
                <w:rFonts w:ascii="Arial Narrow" w:hAnsi="Arial Narrow" w:cs="Calibri"/>
                <w:b/>
                <w:bCs/>
                <w:color w:val="000000"/>
                <w:sz w:val="18"/>
                <w:szCs w:val="18"/>
              </w:rPr>
              <w:t>Tasso di mortalità</w:t>
            </w:r>
          </w:p>
        </w:tc>
        <w:tc>
          <w:tcPr>
            <w:tcW w:w="1960" w:type="dxa"/>
            <w:gridSpan w:val="2"/>
            <w:tcBorders>
              <w:top w:val="single" w:sz="4" w:space="0" w:color="auto"/>
              <w:left w:val="nil"/>
              <w:bottom w:val="single" w:sz="4" w:space="0" w:color="auto"/>
              <w:right w:val="nil"/>
            </w:tcBorders>
            <w:shd w:val="clear" w:color="000000" w:fill="D9D9D9"/>
            <w:noWrap/>
            <w:vAlign w:val="center"/>
            <w:hideMark/>
          </w:tcPr>
          <w:p w14:paraId="66AF96AF" w14:textId="77777777" w:rsidR="005B1F48" w:rsidRDefault="005B1F48">
            <w:pPr>
              <w:jc w:val="center"/>
              <w:rPr>
                <w:rFonts w:ascii="Arial Narrow" w:hAnsi="Arial Narrow" w:cs="Calibri"/>
                <w:b/>
                <w:bCs/>
                <w:color w:val="000000"/>
                <w:sz w:val="18"/>
                <w:szCs w:val="18"/>
              </w:rPr>
            </w:pPr>
            <w:r>
              <w:rPr>
                <w:rFonts w:ascii="Arial Narrow" w:hAnsi="Arial Narrow" w:cs="Calibri"/>
                <w:b/>
                <w:bCs/>
                <w:color w:val="000000"/>
                <w:sz w:val="18"/>
                <w:szCs w:val="18"/>
              </w:rPr>
              <w:t>Tasso migratorio interno</w:t>
            </w:r>
          </w:p>
        </w:tc>
        <w:tc>
          <w:tcPr>
            <w:tcW w:w="1960" w:type="dxa"/>
            <w:gridSpan w:val="2"/>
            <w:tcBorders>
              <w:top w:val="single" w:sz="4" w:space="0" w:color="auto"/>
              <w:left w:val="nil"/>
              <w:bottom w:val="single" w:sz="4" w:space="0" w:color="auto"/>
              <w:right w:val="nil"/>
            </w:tcBorders>
            <w:shd w:val="clear" w:color="000000" w:fill="FFFFFF"/>
            <w:noWrap/>
            <w:vAlign w:val="center"/>
            <w:hideMark/>
          </w:tcPr>
          <w:p w14:paraId="7934AB2F" w14:textId="77777777" w:rsidR="005B1F48" w:rsidRDefault="005B1F48">
            <w:pPr>
              <w:jc w:val="center"/>
              <w:rPr>
                <w:rFonts w:ascii="Arial Narrow" w:hAnsi="Arial Narrow" w:cs="Calibri"/>
                <w:b/>
                <w:bCs/>
                <w:color w:val="000000"/>
                <w:sz w:val="18"/>
                <w:szCs w:val="18"/>
              </w:rPr>
            </w:pPr>
            <w:r>
              <w:rPr>
                <w:rFonts w:ascii="Arial Narrow" w:hAnsi="Arial Narrow" w:cs="Calibri"/>
                <w:b/>
                <w:bCs/>
                <w:color w:val="000000"/>
                <w:sz w:val="18"/>
                <w:szCs w:val="18"/>
              </w:rPr>
              <w:t>Tasso migratorio estero</w:t>
            </w:r>
          </w:p>
        </w:tc>
      </w:tr>
      <w:tr w:rsidR="005B1F48" w14:paraId="234BD990" w14:textId="77777777" w:rsidTr="005B1F48">
        <w:trPr>
          <w:trHeight w:val="300"/>
        </w:trPr>
        <w:tc>
          <w:tcPr>
            <w:tcW w:w="1800" w:type="dxa"/>
            <w:vMerge/>
            <w:tcBorders>
              <w:top w:val="single" w:sz="4" w:space="0" w:color="auto"/>
              <w:left w:val="nil"/>
              <w:bottom w:val="single" w:sz="4" w:space="0" w:color="auto"/>
              <w:right w:val="nil"/>
            </w:tcBorders>
            <w:vAlign w:val="center"/>
            <w:hideMark/>
          </w:tcPr>
          <w:p w14:paraId="0E2A45A4" w14:textId="77777777" w:rsidR="005B1F48" w:rsidRDefault="005B1F48">
            <w:pPr>
              <w:rPr>
                <w:rFonts w:ascii="Arial Narrow" w:hAnsi="Arial Narrow" w:cs="Calibri"/>
                <w:b/>
                <w:bCs/>
                <w:color w:val="000000"/>
                <w:sz w:val="18"/>
                <w:szCs w:val="18"/>
              </w:rPr>
            </w:pPr>
          </w:p>
        </w:tc>
        <w:tc>
          <w:tcPr>
            <w:tcW w:w="980" w:type="dxa"/>
            <w:tcBorders>
              <w:top w:val="nil"/>
              <w:left w:val="nil"/>
              <w:bottom w:val="single" w:sz="4" w:space="0" w:color="auto"/>
              <w:right w:val="nil"/>
            </w:tcBorders>
            <w:shd w:val="clear" w:color="000000" w:fill="FFFFFF"/>
            <w:noWrap/>
            <w:vAlign w:val="center"/>
            <w:hideMark/>
          </w:tcPr>
          <w:p w14:paraId="06BE683E"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0" w:type="dxa"/>
            <w:tcBorders>
              <w:top w:val="nil"/>
              <w:left w:val="nil"/>
              <w:bottom w:val="single" w:sz="4" w:space="0" w:color="auto"/>
              <w:right w:val="nil"/>
            </w:tcBorders>
            <w:shd w:val="clear" w:color="000000" w:fill="FFFFFF"/>
            <w:noWrap/>
            <w:vAlign w:val="center"/>
            <w:hideMark/>
          </w:tcPr>
          <w:p w14:paraId="51B1C6D3"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980" w:type="dxa"/>
            <w:tcBorders>
              <w:top w:val="nil"/>
              <w:left w:val="nil"/>
              <w:bottom w:val="single" w:sz="4" w:space="0" w:color="auto"/>
              <w:right w:val="nil"/>
            </w:tcBorders>
            <w:shd w:val="clear" w:color="000000" w:fill="FFFFFF"/>
            <w:noWrap/>
            <w:vAlign w:val="center"/>
            <w:hideMark/>
          </w:tcPr>
          <w:p w14:paraId="2C255E40"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0" w:type="dxa"/>
            <w:tcBorders>
              <w:top w:val="nil"/>
              <w:left w:val="nil"/>
              <w:bottom w:val="single" w:sz="4" w:space="0" w:color="auto"/>
              <w:right w:val="nil"/>
            </w:tcBorders>
            <w:shd w:val="clear" w:color="000000" w:fill="FFFFFF"/>
            <w:noWrap/>
            <w:vAlign w:val="center"/>
            <w:hideMark/>
          </w:tcPr>
          <w:p w14:paraId="309D8FA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980" w:type="dxa"/>
            <w:tcBorders>
              <w:top w:val="nil"/>
              <w:left w:val="nil"/>
              <w:bottom w:val="single" w:sz="4" w:space="0" w:color="auto"/>
              <w:right w:val="nil"/>
            </w:tcBorders>
            <w:shd w:val="clear" w:color="000000" w:fill="FFFFFF"/>
            <w:noWrap/>
            <w:vAlign w:val="center"/>
            <w:hideMark/>
          </w:tcPr>
          <w:p w14:paraId="279D8BD5"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0" w:type="dxa"/>
            <w:tcBorders>
              <w:top w:val="nil"/>
              <w:left w:val="nil"/>
              <w:bottom w:val="single" w:sz="4" w:space="0" w:color="auto"/>
              <w:right w:val="nil"/>
            </w:tcBorders>
            <w:shd w:val="clear" w:color="000000" w:fill="FFFFFF"/>
            <w:noWrap/>
            <w:vAlign w:val="center"/>
            <w:hideMark/>
          </w:tcPr>
          <w:p w14:paraId="620A35C1"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980" w:type="dxa"/>
            <w:tcBorders>
              <w:top w:val="nil"/>
              <w:left w:val="nil"/>
              <w:bottom w:val="single" w:sz="4" w:space="0" w:color="auto"/>
              <w:right w:val="nil"/>
            </w:tcBorders>
            <w:shd w:val="clear" w:color="000000" w:fill="FFFFFF"/>
            <w:noWrap/>
            <w:vAlign w:val="center"/>
            <w:hideMark/>
          </w:tcPr>
          <w:p w14:paraId="3CBD22FA"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0" w:type="dxa"/>
            <w:tcBorders>
              <w:top w:val="nil"/>
              <w:left w:val="nil"/>
              <w:bottom w:val="single" w:sz="4" w:space="0" w:color="auto"/>
              <w:right w:val="nil"/>
            </w:tcBorders>
            <w:shd w:val="clear" w:color="000000" w:fill="FFFFFF"/>
            <w:noWrap/>
            <w:vAlign w:val="center"/>
            <w:hideMark/>
          </w:tcPr>
          <w:p w14:paraId="3EF39FF2"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2020</w:t>
            </w:r>
          </w:p>
        </w:tc>
      </w:tr>
      <w:tr w:rsidR="005B1F48" w14:paraId="13704C69" w14:textId="77777777" w:rsidTr="005B1F48">
        <w:trPr>
          <w:trHeight w:val="300"/>
        </w:trPr>
        <w:tc>
          <w:tcPr>
            <w:tcW w:w="1800" w:type="dxa"/>
            <w:tcBorders>
              <w:top w:val="single" w:sz="4" w:space="0" w:color="262626"/>
              <w:left w:val="nil"/>
              <w:bottom w:val="single" w:sz="4" w:space="0" w:color="262626"/>
              <w:right w:val="nil"/>
            </w:tcBorders>
            <w:shd w:val="clear" w:color="auto" w:fill="auto"/>
            <w:noWrap/>
            <w:vAlign w:val="center"/>
            <w:hideMark/>
          </w:tcPr>
          <w:p w14:paraId="2FE62A34"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Matera</w:t>
            </w:r>
          </w:p>
        </w:tc>
        <w:tc>
          <w:tcPr>
            <w:tcW w:w="980" w:type="dxa"/>
            <w:tcBorders>
              <w:top w:val="single" w:sz="4" w:space="0" w:color="262626"/>
              <w:left w:val="nil"/>
              <w:bottom w:val="single" w:sz="4" w:space="0" w:color="262626"/>
              <w:right w:val="nil"/>
            </w:tcBorders>
            <w:shd w:val="clear" w:color="000000" w:fill="D9D9D9"/>
            <w:noWrap/>
            <w:vAlign w:val="center"/>
            <w:hideMark/>
          </w:tcPr>
          <w:p w14:paraId="2BEDCBE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6,8</w:t>
            </w:r>
          </w:p>
        </w:tc>
        <w:tc>
          <w:tcPr>
            <w:tcW w:w="980" w:type="dxa"/>
            <w:tcBorders>
              <w:top w:val="single" w:sz="4" w:space="0" w:color="262626"/>
              <w:left w:val="nil"/>
              <w:bottom w:val="single" w:sz="4" w:space="0" w:color="262626"/>
              <w:right w:val="nil"/>
            </w:tcBorders>
            <w:shd w:val="clear" w:color="auto" w:fill="auto"/>
            <w:noWrap/>
            <w:vAlign w:val="center"/>
            <w:hideMark/>
          </w:tcPr>
          <w:p w14:paraId="5CB453E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6,5</w:t>
            </w:r>
          </w:p>
        </w:tc>
        <w:tc>
          <w:tcPr>
            <w:tcW w:w="980" w:type="dxa"/>
            <w:tcBorders>
              <w:top w:val="single" w:sz="4" w:space="0" w:color="262626"/>
              <w:left w:val="nil"/>
              <w:bottom w:val="single" w:sz="4" w:space="0" w:color="262626"/>
              <w:right w:val="nil"/>
            </w:tcBorders>
            <w:shd w:val="clear" w:color="000000" w:fill="D9D9D9"/>
            <w:noWrap/>
            <w:vAlign w:val="center"/>
            <w:hideMark/>
          </w:tcPr>
          <w:p w14:paraId="0D03AFD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10,6</w:t>
            </w:r>
          </w:p>
        </w:tc>
        <w:tc>
          <w:tcPr>
            <w:tcW w:w="980" w:type="dxa"/>
            <w:tcBorders>
              <w:top w:val="single" w:sz="4" w:space="0" w:color="262626"/>
              <w:left w:val="nil"/>
              <w:bottom w:val="single" w:sz="4" w:space="0" w:color="262626"/>
              <w:right w:val="nil"/>
            </w:tcBorders>
            <w:shd w:val="clear" w:color="auto" w:fill="auto"/>
            <w:noWrap/>
            <w:vAlign w:val="center"/>
            <w:hideMark/>
          </w:tcPr>
          <w:p w14:paraId="617DACA9"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11,4</w:t>
            </w:r>
          </w:p>
        </w:tc>
        <w:tc>
          <w:tcPr>
            <w:tcW w:w="980" w:type="dxa"/>
            <w:tcBorders>
              <w:top w:val="single" w:sz="4" w:space="0" w:color="262626"/>
              <w:left w:val="nil"/>
              <w:bottom w:val="single" w:sz="4" w:space="0" w:color="262626"/>
              <w:right w:val="nil"/>
            </w:tcBorders>
            <w:shd w:val="clear" w:color="000000" w:fill="D9D9D9"/>
            <w:noWrap/>
            <w:vAlign w:val="center"/>
            <w:hideMark/>
          </w:tcPr>
          <w:p w14:paraId="2D55BC44"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-4,4</w:t>
            </w:r>
          </w:p>
        </w:tc>
        <w:tc>
          <w:tcPr>
            <w:tcW w:w="980" w:type="dxa"/>
            <w:tcBorders>
              <w:top w:val="single" w:sz="4" w:space="0" w:color="262626"/>
              <w:left w:val="nil"/>
              <w:bottom w:val="single" w:sz="4" w:space="0" w:color="262626"/>
              <w:right w:val="nil"/>
            </w:tcBorders>
            <w:shd w:val="clear" w:color="auto" w:fill="auto"/>
            <w:noWrap/>
            <w:vAlign w:val="center"/>
            <w:hideMark/>
          </w:tcPr>
          <w:p w14:paraId="4D24539F"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-4,0</w:t>
            </w:r>
          </w:p>
        </w:tc>
        <w:tc>
          <w:tcPr>
            <w:tcW w:w="980" w:type="dxa"/>
            <w:tcBorders>
              <w:top w:val="single" w:sz="4" w:space="0" w:color="262626"/>
              <w:left w:val="nil"/>
              <w:bottom w:val="single" w:sz="4" w:space="0" w:color="262626"/>
              <w:right w:val="nil"/>
            </w:tcBorders>
            <w:shd w:val="clear" w:color="000000" w:fill="D9D9D9"/>
            <w:noWrap/>
            <w:vAlign w:val="center"/>
            <w:hideMark/>
          </w:tcPr>
          <w:p w14:paraId="05A8C93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2,2</w:t>
            </w:r>
          </w:p>
        </w:tc>
        <w:tc>
          <w:tcPr>
            <w:tcW w:w="980" w:type="dxa"/>
            <w:tcBorders>
              <w:top w:val="single" w:sz="4" w:space="0" w:color="262626"/>
              <w:left w:val="nil"/>
              <w:bottom w:val="single" w:sz="4" w:space="0" w:color="262626"/>
              <w:right w:val="nil"/>
            </w:tcBorders>
            <w:shd w:val="clear" w:color="auto" w:fill="auto"/>
            <w:noWrap/>
            <w:vAlign w:val="center"/>
            <w:hideMark/>
          </w:tcPr>
          <w:p w14:paraId="373BFD4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1,9</w:t>
            </w:r>
          </w:p>
        </w:tc>
      </w:tr>
      <w:tr w:rsidR="005B1F48" w14:paraId="2D257922" w14:textId="77777777" w:rsidTr="005B1F48">
        <w:trPr>
          <w:trHeight w:val="300"/>
        </w:trPr>
        <w:tc>
          <w:tcPr>
            <w:tcW w:w="1800" w:type="dxa"/>
            <w:tcBorders>
              <w:top w:val="nil"/>
              <w:left w:val="nil"/>
              <w:bottom w:val="single" w:sz="4" w:space="0" w:color="262626"/>
              <w:right w:val="nil"/>
            </w:tcBorders>
            <w:shd w:val="clear" w:color="auto" w:fill="auto"/>
            <w:noWrap/>
            <w:vAlign w:val="center"/>
            <w:hideMark/>
          </w:tcPr>
          <w:p w14:paraId="563013C9"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Potenza</w:t>
            </w:r>
          </w:p>
        </w:tc>
        <w:tc>
          <w:tcPr>
            <w:tcW w:w="980" w:type="dxa"/>
            <w:tcBorders>
              <w:top w:val="nil"/>
              <w:left w:val="nil"/>
              <w:bottom w:val="single" w:sz="4" w:space="0" w:color="262626"/>
              <w:right w:val="nil"/>
            </w:tcBorders>
            <w:shd w:val="clear" w:color="000000" w:fill="D9D9D9"/>
            <w:noWrap/>
            <w:vAlign w:val="center"/>
            <w:hideMark/>
          </w:tcPr>
          <w:p w14:paraId="0D73F65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6,5</w:t>
            </w:r>
          </w:p>
        </w:tc>
        <w:tc>
          <w:tcPr>
            <w:tcW w:w="980" w:type="dxa"/>
            <w:tcBorders>
              <w:top w:val="nil"/>
              <w:left w:val="nil"/>
              <w:bottom w:val="single" w:sz="4" w:space="0" w:color="262626"/>
              <w:right w:val="nil"/>
            </w:tcBorders>
            <w:shd w:val="clear" w:color="auto" w:fill="auto"/>
            <w:noWrap/>
            <w:vAlign w:val="center"/>
            <w:hideMark/>
          </w:tcPr>
          <w:p w14:paraId="34BE25C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6,4</w:t>
            </w:r>
          </w:p>
        </w:tc>
        <w:tc>
          <w:tcPr>
            <w:tcW w:w="980" w:type="dxa"/>
            <w:tcBorders>
              <w:top w:val="nil"/>
              <w:left w:val="nil"/>
              <w:bottom w:val="single" w:sz="4" w:space="0" w:color="262626"/>
              <w:right w:val="nil"/>
            </w:tcBorders>
            <w:shd w:val="clear" w:color="000000" w:fill="D9D9D9"/>
            <w:noWrap/>
            <w:vAlign w:val="center"/>
            <w:hideMark/>
          </w:tcPr>
          <w:p w14:paraId="7DBCD3CE"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12,3</w:t>
            </w:r>
          </w:p>
        </w:tc>
        <w:tc>
          <w:tcPr>
            <w:tcW w:w="980" w:type="dxa"/>
            <w:tcBorders>
              <w:top w:val="nil"/>
              <w:left w:val="nil"/>
              <w:bottom w:val="single" w:sz="4" w:space="0" w:color="262626"/>
              <w:right w:val="nil"/>
            </w:tcBorders>
            <w:shd w:val="clear" w:color="auto" w:fill="auto"/>
            <w:noWrap/>
            <w:vAlign w:val="center"/>
            <w:hideMark/>
          </w:tcPr>
          <w:p w14:paraId="501677BA"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12,7</w:t>
            </w:r>
          </w:p>
        </w:tc>
        <w:tc>
          <w:tcPr>
            <w:tcW w:w="980" w:type="dxa"/>
            <w:tcBorders>
              <w:top w:val="nil"/>
              <w:left w:val="nil"/>
              <w:bottom w:val="single" w:sz="4" w:space="0" w:color="262626"/>
              <w:right w:val="nil"/>
            </w:tcBorders>
            <w:shd w:val="clear" w:color="000000" w:fill="D9D9D9"/>
            <w:noWrap/>
            <w:vAlign w:val="center"/>
            <w:hideMark/>
          </w:tcPr>
          <w:p w14:paraId="08FBF802"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-5,6</w:t>
            </w:r>
          </w:p>
        </w:tc>
        <w:tc>
          <w:tcPr>
            <w:tcW w:w="980" w:type="dxa"/>
            <w:tcBorders>
              <w:top w:val="nil"/>
              <w:left w:val="nil"/>
              <w:bottom w:val="single" w:sz="4" w:space="0" w:color="262626"/>
              <w:right w:val="nil"/>
            </w:tcBorders>
            <w:shd w:val="clear" w:color="auto" w:fill="auto"/>
            <w:noWrap/>
            <w:vAlign w:val="center"/>
            <w:hideMark/>
          </w:tcPr>
          <w:p w14:paraId="45662B9C"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-4,9</w:t>
            </w:r>
          </w:p>
        </w:tc>
        <w:tc>
          <w:tcPr>
            <w:tcW w:w="980" w:type="dxa"/>
            <w:tcBorders>
              <w:top w:val="nil"/>
              <w:left w:val="nil"/>
              <w:bottom w:val="single" w:sz="4" w:space="0" w:color="262626"/>
              <w:right w:val="nil"/>
            </w:tcBorders>
            <w:shd w:val="clear" w:color="000000" w:fill="D9D9D9"/>
            <w:noWrap/>
            <w:vAlign w:val="center"/>
            <w:hideMark/>
          </w:tcPr>
          <w:p w14:paraId="7BA3D310"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1,0</w:t>
            </w:r>
          </w:p>
        </w:tc>
        <w:tc>
          <w:tcPr>
            <w:tcW w:w="980" w:type="dxa"/>
            <w:tcBorders>
              <w:top w:val="nil"/>
              <w:left w:val="nil"/>
              <w:bottom w:val="single" w:sz="4" w:space="0" w:color="262626"/>
              <w:right w:val="nil"/>
            </w:tcBorders>
            <w:shd w:val="clear" w:color="auto" w:fill="auto"/>
            <w:noWrap/>
            <w:vAlign w:val="center"/>
            <w:hideMark/>
          </w:tcPr>
          <w:p w14:paraId="56E51362"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0,7</w:t>
            </w:r>
          </w:p>
        </w:tc>
      </w:tr>
      <w:tr w:rsidR="005B1F48" w14:paraId="071D1B2D" w14:textId="77777777" w:rsidTr="005B1F48">
        <w:trPr>
          <w:trHeight w:val="300"/>
        </w:trPr>
        <w:tc>
          <w:tcPr>
            <w:tcW w:w="1800" w:type="dxa"/>
            <w:tcBorders>
              <w:top w:val="single" w:sz="4" w:space="0" w:color="262626"/>
              <w:left w:val="nil"/>
              <w:bottom w:val="single" w:sz="4" w:space="0" w:color="262626"/>
              <w:right w:val="nil"/>
            </w:tcBorders>
            <w:shd w:val="clear" w:color="000000" w:fill="C9321F"/>
            <w:noWrap/>
            <w:vAlign w:val="center"/>
            <w:hideMark/>
          </w:tcPr>
          <w:p w14:paraId="11A4E1B9" w14:textId="77777777" w:rsidR="005B1F48" w:rsidRDefault="005B1F48">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980" w:type="dxa"/>
            <w:tcBorders>
              <w:top w:val="single" w:sz="4" w:space="0" w:color="262626"/>
              <w:left w:val="nil"/>
              <w:bottom w:val="single" w:sz="4" w:space="0" w:color="262626"/>
              <w:right w:val="nil"/>
            </w:tcBorders>
            <w:shd w:val="clear" w:color="000000" w:fill="C9321F"/>
            <w:noWrap/>
            <w:vAlign w:val="center"/>
            <w:hideMark/>
          </w:tcPr>
          <w:p w14:paraId="7D743DE9"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6,6</w:t>
            </w:r>
          </w:p>
        </w:tc>
        <w:tc>
          <w:tcPr>
            <w:tcW w:w="980" w:type="dxa"/>
            <w:tcBorders>
              <w:top w:val="single" w:sz="4" w:space="0" w:color="262626"/>
              <w:left w:val="nil"/>
              <w:bottom w:val="single" w:sz="4" w:space="0" w:color="262626"/>
              <w:right w:val="nil"/>
            </w:tcBorders>
            <w:shd w:val="clear" w:color="000000" w:fill="C9321F"/>
            <w:noWrap/>
            <w:vAlign w:val="center"/>
            <w:hideMark/>
          </w:tcPr>
          <w:p w14:paraId="6F780D53"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6,4</w:t>
            </w:r>
          </w:p>
        </w:tc>
        <w:tc>
          <w:tcPr>
            <w:tcW w:w="980" w:type="dxa"/>
            <w:tcBorders>
              <w:top w:val="single" w:sz="4" w:space="0" w:color="262626"/>
              <w:left w:val="nil"/>
              <w:bottom w:val="single" w:sz="4" w:space="0" w:color="262626"/>
              <w:right w:val="nil"/>
            </w:tcBorders>
            <w:shd w:val="clear" w:color="000000" w:fill="C9321F"/>
            <w:noWrap/>
            <w:vAlign w:val="center"/>
            <w:hideMark/>
          </w:tcPr>
          <w:p w14:paraId="6BA428C1"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11,7</w:t>
            </w:r>
          </w:p>
        </w:tc>
        <w:tc>
          <w:tcPr>
            <w:tcW w:w="980" w:type="dxa"/>
            <w:tcBorders>
              <w:top w:val="single" w:sz="4" w:space="0" w:color="262626"/>
              <w:left w:val="nil"/>
              <w:bottom w:val="single" w:sz="4" w:space="0" w:color="262626"/>
              <w:right w:val="nil"/>
            </w:tcBorders>
            <w:shd w:val="clear" w:color="000000" w:fill="C9321F"/>
            <w:noWrap/>
            <w:vAlign w:val="center"/>
            <w:hideMark/>
          </w:tcPr>
          <w:p w14:paraId="13BC5AD8"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12,2</w:t>
            </w:r>
          </w:p>
        </w:tc>
        <w:tc>
          <w:tcPr>
            <w:tcW w:w="980" w:type="dxa"/>
            <w:tcBorders>
              <w:top w:val="single" w:sz="4" w:space="0" w:color="262626"/>
              <w:left w:val="nil"/>
              <w:bottom w:val="single" w:sz="4" w:space="0" w:color="262626"/>
              <w:right w:val="nil"/>
            </w:tcBorders>
            <w:shd w:val="clear" w:color="000000" w:fill="C9321F"/>
            <w:noWrap/>
            <w:vAlign w:val="center"/>
            <w:hideMark/>
          </w:tcPr>
          <w:p w14:paraId="3BF5C525"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-5,2</w:t>
            </w:r>
          </w:p>
        </w:tc>
        <w:tc>
          <w:tcPr>
            <w:tcW w:w="980" w:type="dxa"/>
            <w:tcBorders>
              <w:top w:val="single" w:sz="4" w:space="0" w:color="262626"/>
              <w:left w:val="nil"/>
              <w:bottom w:val="single" w:sz="4" w:space="0" w:color="262626"/>
              <w:right w:val="nil"/>
            </w:tcBorders>
            <w:shd w:val="clear" w:color="000000" w:fill="C9321F"/>
            <w:noWrap/>
            <w:vAlign w:val="center"/>
            <w:hideMark/>
          </w:tcPr>
          <w:p w14:paraId="5E98EA84"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-4,6</w:t>
            </w:r>
          </w:p>
        </w:tc>
        <w:tc>
          <w:tcPr>
            <w:tcW w:w="980" w:type="dxa"/>
            <w:tcBorders>
              <w:top w:val="single" w:sz="4" w:space="0" w:color="262626"/>
              <w:left w:val="nil"/>
              <w:bottom w:val="single" w:sz="4" w:space="0" w:color="262626"/>
              <w:right w:val="nil"/>
            </w:tcBorders>
            <w:shd w:val="clear" w:color="000000" w:fill="C9321F"/>
            <w:noWrap/>
            <w:vAlign w:val="center"/>
            <w:hideMark/>
          </w:tcPr>
          <w:p w14:paraId="2B69AE22"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1,4</w:t>
            </w:r>
          </w:p>
        </w:tc>
        <w:tc>
          <w:tcPr>
            <w:tcW w:w="980" w:type="dxa"/>
            <w:tcBorders>
              <w:top w:val="single" w:sz="4" w:space="0" w:color="262626"/>
              <w:left w:val="nil"/>
              <w:bottom w:val="single" w:sz="4" w:space="0" w:color="262626"/>
              <w:right w:val="nil"/>
            </w:tcBorders>
            <w:shd w:val="clear" w:color="000000" w:fill="C9321F"/>
            <w:noWrap/>
            <w:vAlign w:val="center"/>
            <w:hideMark/>
          </w:tcPr>
          <w:p w14:paraId="104A2293"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1,1</w:t>
            </w:r>
          </w:p>
        </w:tc>
      </w:tr>
      <w:tr w:rsidR="005B1F48" w14:paraId="272794F6" w14:textId="77777777" w:rsidTr="005B1F48">
        <w:trPr>
          <w:trHeight w:val="300"/>
        </w:trPr>
        <w:tc>
          <w:tcPr>
            <w:tcW w:w="1800" w:type="dxa"/>
            <w:tcBorders>
              <w:top w:val="single" w:sz="4" w:space="0" w:color="262626"/>
              <w:left w:val="nil"/>
              <w:bottom w:val="single" w:sz="4" w:space="0" w:color="262626"/>
              <w:right w:val="nil"/>
            </w:tcBorders>
            <w:shd w:val="clear" w:color="000000" w:fill="C9321F"/>
            <w:noWrap/>
            <w:vAlign w:val="center"/>
            <w:hideMark/>
          </w:tcPr>
          <w:p w14:paraId="02A8428D" w14:textId="77777777" w:rsidR="005B1F48" w:rsidRDefault="005B1F48">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980" w:type="dxa"/>
            <w:tcBorders>
              <w:top w:val="single" w:sz="4" w:space="0" w:color="262626"/>
              <w:left w:val="nil"/>
              <w:bottom w:val="single" w:sz="4" w:space="0" w:color="262626"/>
              <w:right w:val="nil"/>
            </w:tcBorders>
            <w:shd w:val="clear" w:color="000000" w:fill="C9321F"/>
            <w:noWrap/>
            <w:vAlign w:val="center"/>
            <w:hideMark/>
          </w:tcPr>
          <w:p w14:paraId="0C0DCD5A"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7,0</w:t>
            </w:r>
          </w:p>
        </w:tc>
        <w:tc>
          <w:tcPr>
            <w:tcW w:w="980" w:type="dxa"/>
            <w:tcBorders>
              <w:top w:val="single" w:sz="4" w:space="0" w:color="262626"/>
              <w:left w:val="nil"/>
              <w:bottom w:val="single" w:sz="4" w:space="0" w:color="262626"/>
              <w:right w:val="nil"/>
            </w:tcBorders>
            <w:shd w:val="clear" w:color="000000" w:fill="C9321F"/>
            <w:noWrap/>
            <w:vAlign w:val="center"/>
            <w:hideMark/>
          </w:tcPr>
          <w:p w14:paraId="088BBD08"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6,8</w:t>
            </w:r>
          </w:p>
        </w:tc>
        <w:tc>
          <w:tcPr>
            <w:tcW w:w="980" w:type="dxa"/>
            <w:tcBorders>
              <w:top w:val="single" w:sz="4" w:space="0" w:color="262626"/>
              <w:left w:val="nil"/>
              <w:bottom w:val="single" w:sz="4" w:space="0" w:color="262626"/>
              <w:right w:val="nil"/>
            </w:tcBorders>
            <w:shd w:val="clear" w:color="000000" w:fill="C9321F"/>
            <w:noWrap/>
            <w:vAlign w:val="center"/>
            <w:hideMark/>
          </w:tcPr>
          <w:p w14:paraId="73DFA360"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10,6</w:t>
            </w:r>
          </w:p>
        </w:tc>
        <w:tc>
          <w:tcPr>
            <w:tcW w:w="980" w:type="dxa"/>
            <w:tcBorders>
              <w:top w:val="single" w:sz="4" w:space="0" w:color="262626"/>
              <w:left w:val="nil"/>
              <w:bottom w:val="single" w:sz="4" w:space="0" w:color="262626"/>
              <w:right w:val="nil"/>
            </w:tcBorders>
            <w:shd w:val="clear" w:color="000000" w:fill="C9321F"/>
            <w:noWrap/>
            <w:vAlign w:val="center"/>
            <w:hideMark/>
          </w:tcPr>
          <w:p w14:paraId="658B95C2"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12,5</w:t>
            </w:r>
          </w:p>
        </w:tc>
        <w:tc>
          <w:tcPr>
            <w:tcW w:w="980" w:type="dxa"/>
            <w:tcBorders>
              <w:top w:val="single" w:sz="4" w:space="0" w:color="262626"/>
              <w:left w:val="nil"/>
              <w:bottom w:val="single" w:sz="4" w:space="0" w:color="262626"/>
              <w:right w:val="nil"/>
            </w:tcBorders>
            <w:shd w:val="clear" w:color="000000" w:fill="C9321F"/>
            <w:noWrap/>
            <w:vAlign w:val="center"/>
            <w:hideMark/>
          </w:tcPr>
          <w:p w14:paraId="36FD1E66"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w:t>
            </w:r>
          </w:p>
        </w:tc>
        <w:tc>
          <w:tcPr>
            <w:tcW w:w="980" w:type="dxa"/>
            <w:tcBorders>
              <w:top w:val="single" w:sz="4" w:space="0" w:color="262626"/>
              <w:left w:val="nil"/>
              <w:bottom w:val="single" w:sz="4" w:space="0" w:color="262626"/>
              <w:right w:val="nil"/>
            </w:tcBorders>
            <w:shd w:val="clear" w:color="000000" w:fill="C9321F"/>
            <w:noWrap/>
            <w:vAlign w:val="center"/>
            <w:hideMark/>
          </w:tcPr>
          <w:p w14:paraId="2784109D"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w:t>
            </w:r>
          </w:p>
        </w:tc>
        <w:tc>
          <w:tcPr>
            <w:tcW w:w="980" w:type="dxa"/>
            <w:tcBorders>
              <w:top w:val="single" w:sz="4" w:space="0" w:color="262626"/>
              <w:left w:val="nil"/>
              <w:bottom w:val="single" w:sz="4" w:space="0" w:color="262626"/>
              <w:right w:val="nil"/>
            </w:tcBorders>
            <w:shd w:val="clear" w:color="000000" w:fill="C9321F"/>
            <w:noWrap/>
            <w:vAlign w:val="center"/>
            <w:hideMark/>
          </w:tcPr>
          <w:p w14:paraId="107E1D8C"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2,6</w:t>
            </w:r>
          </w:p>
        </w:tc>
        <w:tc>
          <w:tcPr>
            <w:tcW w:w="980" w:type="dxa"/>
            <w:tcBorders>
              <w:top w:val="single" w:sz="4" w:space="0" w:color="262626"/>
              <w:left w:val="nil"/>
              <w:bottom w:val="single" w:sz="4" w:space="0" w:color="262626"/>
              <w:right w:val="nil"/>
            </w:tcBorders>
            <w:shd w:val="clear" w:color="000000" w:fill="C9321F"/>
            <w:noWrap/>
            <w:vAlign w:val="center"/>
            <w:hideMark/>
          </w:tcPr>
          <w:p w14:paraId="5140346A"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1,5</w:t>
            </w:r>
          </w:p>
        </w:tc>
      </w:tr>
    </w:tbl>
    <w:p w14:paraId="07FC9F6F" w14:textId="77777777" w:rsidR="00DA4C5B" w:rsidRPr="00B13ADF" w:rsidRDefault="00DA4C5B" w:rsidP="00047761">
      <w:pPr>
        <w:spacing w:before="120" w:after="120"/>
        <w:jc w:val="both"/>
        <w:rPr>
          <w:rFonts w:ascii="Trebuchet MS" w:hAnsi="Trebuchet MS" w:cs="Arial"/>
          <w:b/>
          <w:i/>
          <w:color w:val="5F5F5F"/>
          <w:kern w:val="28"/>
          <w:sz w:val="14"/>
          <w:szCs w:val="14"/>
        </w:rPr>
      </w:pPr>
    </w:p>
    <w:p w14:paraId="1F4808B0" w14:textId="3E14D0CF" w:rsidR="00D26C74" w:rsidRDefault="008C7BC5" w:rsidP="002A4527">
      <w:pPr>
        <w:spacing w:after="120"/>
        <w:jc w:val="both"/>
        <w:rPr>
          <w:rFonts w:ascii="Trebuchet MS" w:hAnsi="Trebuchet MS" w:cs="Arial"/>
          <w:b/>
          <w:i/>
          <w:color w:val="5F5F5F"/>
          <w:kern w:val="28"/>
          <w:sz w:val="22"/>
          <w:szCs w:val="22"/>
        </w:rPr>
      </w:pPr>
      <w:r w:rsidRPr="007E75F4">
        <w:rPr>
          <w:rFonts w:ascii="Trebuchet MS" w:hAnsi="Trebuchet MS" w:cs="Arial"/>
          <w:b/>
          <w:iCs/>
          <w:color w:val="5F5F5F"/>
          <w:kern w:val="28"/>
          <w:sz w:val="22"/>
          <w:szCs w:val="22"/>
        </w:rPr>
        <w:t>S</w:t>
      </w:r>
      <w:r w:rsidR="00DB312F" w:rsidRPr="007E75F4">
        <w:rPr>
          <w:rFonts w:ascii="Trebuchet MS" w:hAnsi="Trebuchet MS" w:cs="Arial"/>
          <w:b/>
          <w:iCs/>
          <w:color w:val="5F5F5F"/>
          <w:kern w:val="28"/>
          <w:sz w:val="22"/>
          <w:szCs w:val="22"/>
        </w:rPr>
        <w:t>truttura della popolazione per genere</w:t>
      </w:r>
      <w:r w:rsidR="003C5237" w:rsidRPr="007E75F4">
        <w:rPr>
          <w:rFonts w:ascii="Trebuchet MS" w:hAnsi="Trebuchet MS" w:cs="Arial"/>
          <w:b/>
          <w:iCs/>
          <w:color w:val="5F5F5F"/>
          <w:kern w:val="28"/>
          <w:sz w:val="22"/>
          <w:szCs w:val="22"/>
        </w:rPr>
        <w:t xml:space="preserve"> ed età</w:t>
      </w:r>
      <w:r w:rsidR="00DB312F">
        <w:rPr>
          <w:rFonts w:ascii="Trebuchet MS" w:hAnsi="Trebuchet MS" w:cs="Arial"/>
          <w:b/>
          <w:i/>
          <w:color w:val="5F5F5F"/>
          <w:kern w:val="28"/>
          <w:sz w:val="22"/>
          <w:szCs w:val="22"/>
        </w:rPr>
        <w:t xml:space="preserve"> </w:t>
      </w:r>
    </w:p>
    <w:p w14:paraId="06BFF95F" w14:textId="4A2FC76C" w:rsidR="005B6568" w:rsidRDefault="00153D5A" w:rsidP="002A4527">
      <w:pPr>
        <w:spacing w:after="120"/>
        <w:jc w:val="both"/>
        <w:rPr>
          <w:rFonts w:ascii="Trebuchet MS" w:hAnsi="Trebuchet MS" w:cs="Arial"/>
          <w:color w:val="5F5F5F"/>
          <w:sz w:val="20"/>
          <w:szCs w:val="20"/>
        </w:rPr>
      </w:pPr>
      <w:r w:rsidRPr="00570DC8">
        <w:rPr>
          <w:rFonts w:ascii="Trebuchet MS" w:hAnsi="Trebuchet MS" w:cs="Arial"/>
          <w:color w:val="5F5F5F"/>
          <w:sz w:val="20"/>
          <w:szCs w:val="20"/>
        </w:rPr>
        <w:t xml:space="preserve">La prevalenza della componente femminile nella </w:t>
      </w:r>
      <w:r w:rsidR="007177F4" w:rsidRPr="00570DC8">
        <w:rPr>
          <w:rFonts w:ascii="Trebuchet MS" w:hAnsi="Trebuchet MS" w:cs="Arial"/>
          <w:color w:val="5F5F5F"/>
          <w:sz w:val="20"/>
          <w:szCs w:val="20"/>
        </w:rPr>
        <w:t xml:space="preserve">struttura per genere della popolazione residente </w:t>
      </w:r>
      <w:r w:rsidRPr="00570DC8">
        <w:rPr>
          <w:rFonts w:ascii="Trebuchet MS" w:hAnsi="Trebuchet MS" w:cs="Arial"/>
          <w:color w:val="5F5F5F"/>
          <w:sz w:val="20"/>
          <w:szCs w:val="20"/>
        </w:rPr>
        <w:t>si conferma anche nel 2020.</w:t>
      </w:r>
      <w:r w:rsidR="007177F4" w:rsidRPr="00570DC8">
        <w:rPr>
          <w:rFonts w:ascii="Trebuchet MS" w:hAnsi="Trebuchet MS" w:cs="Arial"/>
          <w:color w:val="5F5F5F"/>
          <w:sz w:val="20"/>
          <w:szCs w:val="20"/>
        </w:rPr>
        <w:t xml:space="preserve"> </w:t>
      </w:r>
      <w:r w:rsidRPr="00570DC8">
        <w:rPr>
          <w:rFonts w:ascii="Trebuchet MS" w:hAnsi="Trebuchet MS" w:cs="Arial"/>
          <w:color w:val="5F5F5F"/>
          <w:sz w:val="20"/>
          <w:szCs w:val="20"/>
        </w:rPr>
        <w:t>Le donne, infatti, rappresentano il 5</w:t>
      </w:r>
      <w:r w:rsidR="00B25FA1" w:rsidRPr="00570DC8">
        <w:rPr>
          <w:rFonts w:ascii="Trebuchet MS" w:hAnsi="Trebuchet MS" w:cs="Arial"/>
          <w:color w:val="5F5F5F"/>
          <w:sz w:val="20"/>
          <w:szCs w:val="20"/>
        </w:rPr>
        <w:t>0</w:t>
      </w:r>
      <w:r w:rsidRPr="00570DC8">
        <w:rPr>
          <w:rFonts w:ascii="Trebuchet MS" w:hAnsi="Trebuchet MS" w:cs="Arial"/>
          <w:color w:val="5F5F5F"/>
          <w:sz w:val="20"/>
          <w:szCs w:val="20"/>
        </w:rPr>
        <w:t>,</w:t>
      </w:r>
      <w:r w:rsidR="00B25FA1" w:rsidRPr="00570DC8">
        <w:rPr>
          <w:rFonts w:ascii="Trebuchet MS" w:hAnsi="Trebuchet MS" w:cs="Arial"/>
          <w:color w:val="5F5F5F"/>
          <w:sz w:val="20"/>
          <w:szCs w:val="20"/>
        </w:rPr>
        <w:t>8</w:t>
      </w:r>
      <w:r w:rsidRPr="00570DC8">
        <w:rPr>
          <w:rFonts w:ascii="Trebuchet MS" w:hAnsi="Trebuchet MS" w:cs="Arial"/>
          <w:color w:val="5F5F5F"/>
          <w:sz w:val="20"/>
          <w:szCs w:val="20"/>
        </w:rPr>
        <w:t xml:space="preserve">% del totale </w:t>
      </w:r>
      <w:r w:rsidR="007177F4" w:rsidRPr="00570DC8">
        <w:rPr>
          <w:rFonts w:ascii="Trebuchet MS" w:hAnsi="Trebuchet MS" w:cs="Arial"/>
          <w:color w:val="5F5F5F"/>
          <w:sz w:val="20"/>
          <w:szCs w:val="20"/>
        </w:rPr>
        <w:t xml:space="preserve">e superano gli uomini di </w:t>
      </w:r>
      <w:r w:rsidR="006520F0">
        <w:rPr>
          <w:rFonts w:ascii="Trebuchet MS" w:hAnsi="Trebuchet MS" w:cs="Arial"/>
          <w:color w:val="5F5F5F"/>
          <w:sz w:val="20"/>
          <w:szCs w:val="20"/>
        </w:rPr>
        <w:t>poco meno di</w:t>
      </w:r>
      <w:r w:rsidR="006520F0" w:rsidRPr="00570DC8">
        <w:rPr>
          <w:rFonts w:ascii="Trebuchet MS" w:hAnsi="Trebuchet MS" w:cs="Arial"/>
          <w:color w:val="5F5F5F"/>
          <w:sz w:val="20"/>
          <w:szCs w:val="20"/>
        </w:rPr>
        <w:t xml:space="preserve"> </w:t>
      </w:r>
      <w:r w:rsidR="00B25FA1" w:rsidRPr="00570DC8">
        <w:rPr>
          <w:rFonts w:ascii="Trebuchet MS" w:hAnsi="Trebuchet MS" w:cs="Arial"/>
          <w:color w:val="5F5F5F"/>
          <w:sz w:val="20"/>
          <w:szCs w:val="20"/>
        </w:rPr>
        <w:t>10</w:t>
      </w:r>
      <w:r w:rsidR="00030CB4" w:rsidRPr="00570DC8">
        <w:rPr>
          <w:rFonts w:ascii="Trebuchet MS" w:hAnsi="Trebuchet MS" w:cs="Arial"/>
          <w:color w:val="5F5F5F"/>
          <w:sz w:val="20"/>
          <w:szCs w:val="20"/>
        </w:rPr>
        <w:t xml:space="preserve"> </w:t>
      </w:r>
      <w:r w:rsidR="00BD547D" w:rsidRPr="00570DC8">
        <w:rPr>
          <w:rFonts w:ascii="Trebuchet MS" w:hAnsi="Trebuchet MS" w:cs="Arial"/>
          <w:color w:val="5F5F5F"/>
          <w:sz w:val="20"/>
          <w:szCs w:val="20"/>
        </w:rPr>
        <w:t>mila</w:t>
      </w:r>
      <w:r w:rsidR="007177F4" w:rsidRPr="00570DC8">
        <w:rPr>
          <w:rFonts w:ascii="Trebuchet MS" w:hAnsi="Trebuchet MS" w:cs="Arial"/>
          <w:color w:val="5F5F5F"/>
          <w:sz w:val="20"/>
          <w:szCs w:val="20"/>
        </w:rPr>
        <w:t xml:space="preserve"> unità</w:t>
      </w:r>
      <w:r w:rsidR="002C7038">
        <w:rPr>
          <w:rFonts w:ascii="Trebuchet MS" w:hAnsi="Trebuchet MS" w:cs="Arial"/>
          <w:color w:val="5F5F5F"/>
          <w:sz w:val="20"/>
          <w:szCs w:val="20"/>
        </w:rPr>
        <w:t xml:space="preserve"> (Prospetto 4)</w:t>
      </w:r>
      <w:r w:rsidR="007177F4" w:rsidRPr="00570DC8">
        <w:rPr>
          <w:rFonts w:ascii="Trebuchet MS" w:hAnsi="Trebuchet MS" w:cs="Arial"/>
          <w:color w:val="5F5F5F"/>
          <w:sz w:val="20"/>
          <w:szCs w:val="20"/>
        </w:rPr>
        <w:t xml:space="preserve">. </w:t>
      </w:r>
      <w:r w:rsidRPr="00570DC8">
        <w:rPr>
          <w:rFonts w:ascii="Trebuchet MS" w:hAnsi="Trebuchet MS" w:cs="Arial"/>
          <w:color w:val="5F5F5F"/>
          <w:sz w:val="20"/>
          <w:szCs w:val="20"/>
        </w:rPr>
        <w:t>Il rapporto di mascolinità nella regione</w:t>
      </w:r>
      <w:r w:rsidR="00EA3C02" w:rsidRPr="00570DC8">
        <w:rPr>
          <w:rFonts w:ascii="Trebuchet MS" w:hAnsi="Trebuchet MS" w:cs="Arial"/>
          <w:color w:val="5F5F5F"/>
          <w:sz w:val="20"/>
          <w:szCs w:val="20"/>
        </w:rPr>
        <w:t xml:space="preserve"> è</w:t>
      </w:r>
      <w:r w:rsidR="00AB33C6" w:rsidRPr="00570DC8">
        <w:rPr>
          <w:rFonts w:ascii="Trebuchet MS" w:hAnsi="Trebuchet MS" w:cs="Arial"/>
          <w:color w:val="5F5F5F"/>
          <w:sz w:val="20"/>
          <w:szCs w:val="20"/>
        </w:rPr>
        <w:t xml:space="preserve"> pari al</w:t>
      </w:r>
      <w:r w:rsidRPr="00570DC8">
        <w:rPr>
          <w:rFonts w:ascii="Trebuchet MS" w:hAnsi="Trebuchet MS" w:cs="Arial"/>
          <w:color w:val="5F5F5F"/>
          <w:sz w:val="20"/>
          <w:szCs w:val="20"/>
        </w:rPr>
        <w:t xml:space="preserve"> 9</w:t>
      </w:r>
      <w:r w:rsidR="00B25FA1" w:rsidRPr="00570DC8">
        <w:rPr>
          <w:rFonts w:ascii="Trebuchet MS" w:hAnsi="Trebuchet MS" w:cs="Arial"/>
          <w:color w:val="5F5F5F"/>
          <w:sz w:val="20"/>
          <w:szCs w:val="20"/>
        </w:rPr>
        <w:t>6</w:t>
      </w:r>
      <w:r w:rsidRPr="00570DC8">
        <w:rPr>
          <w:rFonts w:ascii="Trebuchet MS" w:hAnsi="Trebuchet MS" w:cs="Arial"/>
          <w:color w:val="5F5F5F"/>
          <w:sz w:val="20"/>
          <w:szCs w:val="20"/>
        </w:rPr>
        <w:t>,</w:t>
      </w:r>
      <w:r w:rsidR="00B25FA1" w:rsidRPr="00570DC8">
        <w:rPr>
          <w:rFonts w:ascii="Trebuchet MS" w:hAnsi="Trebuchet MS" w:cs="Arial"/>
          <w:color w:val="5F5F5F"/>
          <w:sz w:val="20"/>
          <w:szCs w:val="20"/>
        </w:rPr>
        <w:t>7</w:t>
      </w:r>
      <w:r w:rsidRPr="00570DC8">
        <w:rPr>
          <w:rFonts w:ascii="Trebuchet MS" w:hAnsi="Trebuchet MS" w:cs="Arial"/>
          <w:color w:val="5F5F5F"/>
          <w:sz w:val="20"/>
          <w:szCs w:val="20"/>
        </w:rPr>
        <w:t>% mentre in Italia si attesta al 95%</w:t>
      </w:r>
      <w:r w:rsidR="001401F2" w:rsidRPr="00570DC8">
        <w:rPr>
          <w:rFonts w:ascii="Trebuchet MS" w:hAnsi="Trebuchet MS" w:cs="Arial"/>
          <w:color w:val="5F5F5F"/>
          <w:sz w:val="20"/>
          <w:szCs w:val="20"/>
        </w:rPr>
        <w:t>.</w:t>
      </w:r>
      <w:r w:rsidR="001401F2">
        <w:rPr>
          <w:rFonts w:ascii="Trebuchet MS" w:hAnsi="Trebuchet MS" w:cs="Arial"/>
          <w:color w:val="5F5F5F"/>
          <w:sz w:val="20"/>
          <w:szCs w:val="20"/>
        </w:rPr>
        <w:t xml:space="preserve"> </w:t>
      </w:r>
    </w:p>
    <w:p w14:paraId="4DF9D14A" w14:textId="471C92EE" w:rsidR="009B4983" w:rsidRDefault="009B4983">
      <w:pPr>
        <w:spacing w:after="120"/>
        <w:jc w:val="both"/>
        <w:rPr>
          <w:rFonts w:ascii="Trebuchet MS" w:hAnsi="Trebuchet MS" w:cs="Arial"/>
          <w:color w:val="5F5F5F"/>
          <w:sz w:val="20"/>
          <w:szCs w:val="20"/>
        </w:rPr>
      </w:pPr>
    </w:p>
    <w:tbl>
      <w:tblPr>
        <w:tblStyle w:val="Grigliatabella"/>
        <w:tblW w:w="0" w:type="auto"/>
        <w:tblLook w:val="04A0" w:firstRow="1" w:lastRow="0" w:firstColumn="1" w:lastColumn="0" w:noHBand="0" w:noVBand="1"/>
      </w:tblPr>
      <w:tblGrid>
        <w:gridCol w:w="4680"/>
        <w:gridCol w:w="4958"/>
      </w:tblGrid>
      <w:tr w:rsidR="009B4983" w14:paraId="7C0A723F" w14:textId="77777777" w:rsidTr="0004755B">
        <w:tc>
          <w:tcPr>
            <w:tcW w:w="4750" w:type="dxa"/>
            <w:tcBorders>
              <w:top w:val="nil"/>
              <w:left w:val="nil"/>
              <w:bottom w:val="single" w:sz="4" w:space="0" w:color="BFBFBF" w:themeColor="background1" w:themeShade="BF"/>
              <w:right w:val="nil"/>
            </w:tcBorders>
          </w:tcPr>
          <w:p w14:paraId="7604EE7B" w14:textId="77777777" w:rsidR="009B4983" w:rsidRPr="00047761" w:rsidRDefault="009B4983" w:rsidP="00F13D9F">
            <w:pPr>
              <w:spacing w:after="120"/>
              <w:ind w:left="-105"/>
              <w:rPr>
                <w:rFonts w:ascii="Trebuchet MS" w:hAnsi="Trebuchet MS" w:cs="Arial"/>
                <w:color w:val="595959" w:themeColor="text1" w:themeTint="A6"/>
                <w:sz w:val="20"/>
                <w:szCs w:val="20"/>
              </w:rPr>
            </w:pPr>
            <w:r w:rsidRPr="00047761">
              <w:rPr>
                <w:rFonts w:ascii="Arial Narrow" w:eastAsia="Calibri" w:hAnsi="Arial Narrow" w:cs="Arial"/>
                <w:b/>
                <w:bCs/>
                <w:color w:val="595959" w:themeColor="text1" w:themeTint="A6"/>
                <w:sz w:val="22"/>
                <w:szCs w:val="22"/>
              </w:rPr>
              <w:t>PROSPETTO 4.</w:t>
            </w:r>
            <w:r w:rsidRPr="00047761">
              <w:rPr>
                <w:rFonts w:ascii="Arial Narrow" w:eastAsia="Calibri" w:hAnsi="Arial Narrow" w:cs="Arial"/>
                <w:color w:val="595959" w:themeColor="text1" w:themeTint="A6"/>
                <w:sz w:val="22"/>
                <w:szCs w:val="22"/>
              </w:rPr>
              <w:t xml:space="preserve"> POPOLAZIONE RESIDENTE PER GENERE.</w:t>
            </w:r>
            <w:r w:rsidRPr="00047761">
              <w:rPr>
                <w:rFonts w:ascii="Arial Narrow" w:eastAsia="Calibri" w:hAnsi="Arial Narrow" w:cs="Arial"/>
                <w:color w:val="595959" w:themeColor="text1" w:themeTint="A6"/>
                <w:sz w:val="20"/>
                <w:szCs w:val="20"/>
              </w:rPr>
              <w:t xml:space="preserve"> Censimenti 2020 e 2019. Valori assoluti e composizione percentuale</w:t>
            </w:r>
          </w:p>
        </w:tc>
        <w:tc>
          <w:tcPr>
            <w:tcW w:w="4888" w:type="dxa"/>
            <w:tcBorders>
              <w:top w:val="nil"/>
              <w:left w:val="nil"/>
              <w:bottom w:val="single" w:sz="4" w:space="0" w:color="BFBFBF" w:themeColor="background1" w:themeShade="BF"/>
              <w:right w:val="nil"/>
            </w:tcBorders>
          </w:tcPr>
          <w:p w14:paraId="363DCDBC" w14:textId="7588C20A" w:rsidR="009B4983" w:rsidRPr="00047761" w:rsidRDefault="009B4983" w:rsidP="00156220">
            <w:pPr>
              <w:rPr>
                <w:rFonts w:ascii="Trebuchet MS" w:hAnsi="Trebuchet MS" w:cs="Arial"/>
                <w:color w:val="595959" w:themeColor="text1" w:themeTint="A6"/>
                <w:sz w:val="20"/>
                <w:szCs w:val="20"/>
              </w:rPr>
            </w:pPr>
            <w:r w:rsidRPr="00047761">
              <w:rPr>
                <w:rFonts w:ascii="Arial Narrow" w:hAnsi="Arial Narrow" w:cs="Calibri"/>
                <w:b/>
                <w:bCs/>
                <w:color w:val="595959" w:themeColor="text1" w:themeTint="A6"/>
                <w:sz w:val="22"/>
                <w:szCs w:val="22"/>
              </w:rPr>
              <w:t>FIGURA 1.</w:t>
            </w:r>
            <w:r w:rsidRPr="00047761">
              <w:rPr>
                <w:rFonts w:ascii="Arial Narrow" w:hAnsi="Arial Narrow" w:cs="Calibri"/>
                <w:color w:val="595959" w:themeColor="text1" w:themeTint="A6"/>
                <w:sz w:val="22"/>
                <w:szCs w:val="22"/>
              </w:rPr>
              <w:t xml:space="preserve"> PIRAMIDE DELLE ETÀ DELLA POPOLAZIONE RESIDENTE, </w:t>
            </w:r>
            <w:r w:rsidR="000351AB">
              <w:rPr>
                <w:rFonts w:ascii="Arial Narrow" w:hAnsi="Arial Narrow" w:cs="Calibri"/>
                <w:color w:val="595959" w:themeColor="text1" w:themeTint="A6"/>
                <w:sz w:val="22"/>
                <w:szCs w:val="22"/>
              </w:rPr>
              <w:t>BASILICATA</w:t>
            </w:r>
            <w:r w:rsidRPr="00047761">
              <w:rPr>
                <w:rFonts w:ascii="Arial Narrow" w:hAnsi="Arial Narrow" w:cs="Calibri"/>
                <w:color w:val="595959" w:themeColor="text1" w:themeTint="A6"/>
                <w:sz w:val="22"/>
                <w:szCs w:val="22"/>
              </w:rPr>
              <w:t xml:space="preserve"> E ITALIA.</w:t>
            </w:r>
            <w:r w:rsidRPr="00047761">
              <w:rPr>
                <w:rFonts w:ascii="Arial Narrow" w:hAnsi="Arial Narrow" w:cs="Calibri"/>
                <w:color w:val="595959" w:themeColor="text1" w:themeTint="A6"/>
                <w:sz w:val="20"/>
                <w:szCs w:val="20"/>
              </w:rPr>
              <w:t xml:space="preserve"> Censimento 2020. Valori percentuali</w:t>
            </w:r>
          </w:p>
        </w:tc>
      </w:tr>
      <w:tr w:rsidR="009B4983" w14:paraId="545AE5D2" w14:textId="77777777" w:rsidTr="005B1F48">
        <w:tblPrEx>
          <w:tblCellMar>
            <w:left w:w="70" w:type="dxa"/>
            <w:right w:w="70" w:type="dxa"/>
          </w:tblCellMar>
        </w:tblPrEx>
        <w:tc>
          <w:tcPr>
            <w:tcW w:w="4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tbl>
            <w:tblPr>
              <w:tblW w:w="4160" w:type="dxa"/>
              <w:tblCellMar>
                <w:left w:w="70" w:type="dxa"/>
                <w:right w:w="70" w:type="dxa"/>
              </w:tblCellMar>
              <w:tblLook w:val="04A0" w:firstRow="1" w:lastRow="0" w:firstColumn="1" w:lastColumn="0" w:noHBand="0" w:noVBand="1"/>
            </w:tblPr>
            <w:tblGrid>
              <w:gridCol w:w="1160"/>
              <w:gridCol w:w="1500"/>
              <w:gridCol w:w="1500"/>
            </w:tblGrid>
            <w:tr w:rsidR="005B1F48" w14:paraId="6BDBE4E2" w14:textId="77777777" w:rsidTr="005B1F48">
              <w:trPr>
                <w:trHeight w:val="300"/>
              </w:trPr>
              <w:tc>
                <w:tcPr>
                  <w:tcW w:w="1160" w:type="dxa"/>
                  <w:tcBorders>
                    <w:top w:val="single" w:sz="4" w:space="0" w:color="auto"/>
                    <w:left w:val="nil"/>
                    <w:bottom w:val="single" w:sz="4" w:space="0" w:color="auto"/>
                    <w:right w:val="nil"/>
                  </w:tcBorders>
                  <w:shd w:val="clear" w:color="auto" w:fill="auto"/>
                  <w:noWrap/>
                  <w:vAlign w:val="center"/>
                  <w:hideMark/>
                </w:tcPr>
                <w:p w14:paraId="5BBDD2D3" w14:textId="77777777" w:rsidR="005B1F48" w:rsidRDefault="005B1F48" w:rsidP="005B1F48">
                  <w:pPr>
                    <w:rPr>
                      <w:rFonts w:ascii="Arial Narrow" w:hAnsi="Arial Narrow" w:cs="Calibri"/>
                      <w:b/>
                      <w:bCs/>
                      <w:color w:val="000000"/>
                      <w:sz w:val="18"/>
                      <w:szCs w:val="18"/>
                    </w:rPr>
                  </w:pPr>
                  <w:r>
                    <w:rPr>
                      <w:rFonts w:ascii="Arial Narrow" w:hAnsi="Arial Narrow" w:cs="Calibri"/>
                      <w:b/>
                      <w:bCs/>
                      <w:color w:val="000000"/>
                      <w:sz w:val="18"/>
                      <w:szCs w:val="18"/>
                    </w:rPr>
                    <w:t> </w:t>
                  </w:r>
                </w:p>
              </w:tc>
              <w:tc>
                <w:tcPr>
                  <w:tcW w:w="1500" w:type="dxa"/>
                  <w:tcBorders>
                    <w:top w:val="single" w:sz="4" w:space="0" w:color="auto"/>
                    <w:left w:val="nil"/>
                    <w:bottom w:val="single" w:sz="4" w:space="0" w:color="auto"/>
                    <w:right w:val="nil"/>
                  </w:tcBorders>
                  <w:shd w:val="clear" w:color="000000" w:fill="D9D9D9"/>
                  <w:vAlign w:val="center"/>
                  <w:hideMark/>
                </w:tcPr>
                <w:p w14:paraId="1C4DC5DE" w14:textId="77777777" w:rsidR="005B1F48" w:rsidRPr="00BA7FCD" w:rsidRDefault="005B1F48" w:rsidP="005B1F48">
                  <w:pPr>
                    <w:jc w:val="center"/>
                    <w:rPr>
                      <w:rFonts w:ascii="Arial Narrow" w:hAnsi="Arial Narrow" w:cs="Calibri"/>
                      <w:b/>
                      <w:bCs/>
                      <w:color w:val="000000"/>
                      <w:sz w:val="18"/>
                      <w:szCs w:val="18"/>
                    </w:rPr>
                  </w:pPr>
                  <w:r w:rsidRPr="00BA7FCD">
                    <w:rPr>
                      <w:rFonts w:ascii="Arial Narrow" w:hAnsi="Arial Narrow" w:cs="Calibri"/>
                      <w:b/>
                      <w:bCs/>
                      <w:color w:val="000000"/>
                      <w:sz w:val="18"/>
                      <w:szCs w:val="18"/>
                    </w:rPr>
                    <w:t>2020</w:t>
                  </w:r>
                </w:p>
              </w:tc>
              <w:tc>
                <w:tcPr>
                  <w:tcW w:w="1500" w:type="dxa"/>
                  <w:tcBorders>
                    <w:top w:val="single" w:sz="4" w:space="0" w:color="auto"/>
                    <w:left w:val="nil"/>
                    <w:bottom w:val="single" w:sz="4" w:space="0" w:color="auto"/>
                    <w:right w:val="nil"/>
                  </w:tcBorders>
                  <w:shd w:val="clear" w:color="auto" w:fill="auto"/>
                  <w:noWrap/>
                  <w:vAlign w:val="center"/>
                  <w:hideMark/>
                </w:tcPr>
                <w:p w14:paraId="6EAC87A0" w14:textId="77777777" w:rsidR="005B1F48" w:rsidRPr="00BA7FCD" w:rsidRDefault="005B1F48" w:rsidP="005B1F48">
                  <w:pPr>
                    <w:jc w:val="center"/>
                    <w:rPr>
                      <w:rFonts w:ascii="Arial Narrow" w:hAnsi="Arial Narrow" w:cs="Calibri"/>
                      <w:b/>
                      <w:bCs/>
                      <w:color w:val="000000"/>
                      <w:sz w:val="18"/>
                      <w:szCs w:val="18"/>
                    </w:rPr>
                  </w:pPr>
                  <w:r w:rsidRPr="00BA7FCD">
                    <w:rPr>
                      <w:rFonts w:ascii="Arial Narrow" w:hAnsi="Arial Narrow" w:cs="Calibri"/>
                      <w:b/>
                      <w:bCs/>
                      <w:color w:val="000000"/>
                      <w:sz w:val="18"/>
                      <w:szCs w:val="18"/>
                    </w:rPr>
                    <w:t>2019</w:t>
                  </w:r>
                </w:p>
              </w:tc>
            </w:tr>
            <w:tr w:rsidR="005B1F48" w14:paraId="0E1C64FD" w14:textId="77777777" w:rsidTr="005B1F48">
              <w:trPr>
                <w:trHeight w:val="375"/>
              </w:trPr>
              <w:tc>
                <w:tcPr>
                  <w:tcW w:w="4160" w:type="dxa"/>
                  <w:gridSpan w:val="3"/>
                  <w:tcBorders>
                    <w:top w:val="nil"/>
                    <w:left w:val="nil"/>
                    <w:bottom w:val="nil"/>
                    <w:right w:val="nil"/>
                  </w:tcBorders>
                  <w:shd w:val="clear" w:color="000000" w:fill="FFFFFF"/>
                  <w:vAlign w:val="center"/>
                  <w:hideMark/>
                </w:tcPr>
                <w:p w14:paraId="6DE89155" w14:textId="77777777" w:rsidR="005B1F48" w:rsidRDefault="005B1F48" w:rsidP="005B1F48">
                  <w:pPr>
                    <w:jc w:val="center"/>
                    <w:rPr>
                      <w:rFonts w:ascii="Arial Narrow" w:hAnsi="Arial Narrow" w:cs="Calibri"/>
                      <w:color w:val="000000"/>
                      <w:sz w:val="18"/>
                      <w:szCs w:val="18"/>
                    </w:rPr>
                  </w:pPr>
                  <w:r>
                    <w:rPr>
                      <w:rFonts w:ascii="Arial Narrow" w:hAnsi="Arial Narrow" w:cs="Calibri"/>
                      <w:color w:val="000000"/>
                      <w:sz w:val="18"/>
                      <w:szCs w:val="18"/>
                    </w:rPr>
                    <w:t>Valori assoluti</w:t>
                  </w:r>
                </w:p>
              </w:tc>
            </w:tr>
            <w:tr w:rsidR="005B1F48" w14:paraId="19EE37B3" w14:textId="77777777" w:rsidTr="005B1F48">
              <w:trPr>
                <w:trHeight w:val="300"/>
              </w:trPr>
              <w:tc>
                <w:tcPr>
                  <w:tcW w:w="1160" w:type="dxa"/>
                  <w:tcBorders>
                    <w:top w:val="single" w:sz="4" w:space="0" w:color="auto"/>
                    <w:left w:val="nil"/>
                    <w:bottom w:val="single" w:sz="4" w:space="0" w:color="auto"/>
                    <w:right w:val="nil"/>
                  </w:tcBorders>
                  <w:shd w:val="clear" w:color="auto" w:fill="auto"/>
                  <w:noWrap/>
                  <w:vAlign w:val="center"/>
                  <w:hideMark/>
                </w:tcPr>
                <w:p w14:paraId="725B022B" w14:textId="77777777" w:rsidR="005B1F48" w:rsidRDefault="005B1F48" w:rsidP="005B1F48">
                  <w:pPr>
                    <w:rPr>
                      <w:rFonts w:ascii="Arial Narrow" w:hAnsi="Arial Narrow" w:cs="Calibri"/>
                      <w:color w:val="000000"/>
                      <w:sz w:val="18"/>
                      <w:szCs w:val="18"/>
                    </w:rPr>
                  </w:pPr>
                  <w:r>
                    <w:rPr>
                      <w:rFonts w:ascii="Arial Narrow" w:hAnsi="Arial Narrow" w:cs="Calibri"/>
                      <w:color w:val="000000"/>
                      <w:sz w:val="18"/>
                      <w:szCs w:val="18"/>
                    </w:rPr>
                    <w:t>Femmine</w:t>
                  </w:r>
                </w:p>
              </w:tc>
              <w:tc>
                <w:tcPr>
                  <w:tcW w:w="1500" w:type="dxa"/>
                  <w:tcBorders>
                    <w:top w:val="single" w:sz="4" w:space="0" w:color="auto"/>
                    <w:left w:val="nil"/>
                    <w:bottom w:val="single" w:sz="4" w:space="0" w:color="auto"/>
                    <w:right w:val="nil"/>
                  </w:tcBorders>
                  <w:shd w:val="clear" w:color="000000" w:fill="D9D9D9"/>
                  <w:noWrap/>
                  <w:vAlign w:val="center"/>
                  <w:hideMark/>
                </w:tcPr>
                <w:p w14:paraId="286F17AB"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277.141</w:t>
                  </w:r>
                </w:p>
              </w:tc>
              <w:tc>
                <w:tcPr>
                  <w:tcW w:w="1500" w:type="dxa"/>
                  <w:tcBorders>
                    <w:top w:val="single" w:sz="4" w:space="0" w:color="auto"/>
                    <w:left w:val="nil"/>
                    <w:bottom w:val="single" w:sz="4" w:space="0" w:color="auto"/>
                    <w:right w:val="nil"/>
                  </w:tcBorders>
                  <w:shd w:val="clear" w:color="000000" w:fill="FFFFFF"/>
                  <w:noWrap/>
                  <w:vAlign w:val="center"/>
                  <w:hideMark/>
                </w:tcPr>
                <w:p w14:paraId="48EBD243"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281.104</w:t>
                  </w:r>
                </w:p>
              </w:tc>
            </w:tr>
            <w:tr w:rsidR="005B1F48" w14:paraId="16E75C1E" w14:textId="77777777" w:rsidTr="005B1F48">
              <w:trPr>
                <w:trHeight w:val="300"/>
              </w:trPr>
              <w:tc>
                <w:tcPr>
                  <w:tcW w:w="1160" w:type="dxa"/>
                  <w:tcBorders>
                    <w:top w:val="single" w:sz="4" w:space="0" w:color="auto"/>
                    <w:left w:val="nil"/>
                    <w:bottom w:val="single" w:sz="4" w:space="0" w:color="auto"/>
                    <w:right w:val="nil"/>
                  </w:tcBorders>
                  <w:shd w:val="clear" w:color="auto" w:fill="auto"/>
                  <w:noWrap/>
                  <w:vAlign w:val="center"/>
                  <w:hideMark/>
                </w:tcPr>
                <w:p w14:paraId="62DB7BF5" w14:textId="77777777" w:rsidR="005B1F48" w:rsidRDefault="005B1F48" w:rsidP="005B1F48">
                  <w:pPr>
                    <w:rPr>
                      <w:rFonts w:ascii="Arial Narrow" w:hAnsi="Arial Narrow" w:cs="Calibri"/>
                      <w:color w:val="000000"/>
                      <w:sz w:val="18"/>
                      <w:szCs w:val="18"/>
                    </w:rPr>
                  </w:pPr>
                  <w:r>
                    <w:rPr>
                      <w:rFonts w:ascii="Arial Narrow" w:hAnsi="Arial Narrow" w:cs="Calibri"/>
                      <w:color w:val="000000"/>
                      <w:sz w:val="18"/>
                      <w:szCs w:val="18"/>
                    </w:rPr>
                    <w:t>Maschi</w:t>
                  </w:r>
                </w:p>
              </w:tc>
              <w:tc>
                <w:tcPr>
                  <w:tcW w:w="1500" w:type="dxa"/>
                  <w:tcBorders>
                    <w:top w:val="single" w:sz="4" w:space="0" w:color="auto"/>
                    <w:left w:val="nil"/>
                    <w:bottom w:val="single" w:sz="4" w:space="0" w:color="auto"/>
                    <w:right w:val="nil"/>
                  </w:tcBorders>
                  <w:shd w:val="clear" w:color="000000" w:fill="D9D9D9"/>
                  <w:noWrap/>
                  <w:vAlign w:val="center"/>
                  <w:hideMark/>
                </w:tcPr>
                <w:p w14:paraId="192F4D1C"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267.989</w:t>
                  </w:r>
                </w:p>
              </w:tc>
              <w:tc>
                <w:tcPr>
                  <w:tcW w:w="1500" w:type="dxa"/>
                  <w:tcBorders>
                    <w:top w:val="single" w:sz="4" w:space="0" w:color="auto"/>
                    <w:left w:val="nil"/>
                    <w:bottom w:val="single" w:sz="4" w:space="0" w:color="auto"/>
                    <w:right w:val="nil"/>
                  </w:tcBorders>
                  <w:shd w:val="clear" w:color="000000" w:fill="FFFFFF"/>
                  <w:noWrap/>
                  <w:vAlign w:val="center"/>
                  <w:hideMark/>
                </w:tcPr>
                <w:p w14:paraId="46ADDC40"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272.150</w:t>
                  </w:r>
                </w:p>
              </w:tc>
            </w:tr>
            <w:tr w:rsidR="005B1F48" w14:paraId="69E09FC0" w14:textId="77777777" w:rsidTr="005B1F48">
              <w:trPr>
                <w:trHeight w:val="300"/>
              </w:trPr>
              <w:tc>
                <w:tcPr>
                  <w:tcW w:w="1160" w:type="dxa"/>
                  <w:tcBorders>
                    <w:top w:val="single" w:sz="4" w:space="0" w:color="auto"/>
                    <w:left w:val="nil"/>
                    <w:bottom w:val="single" w:sz="4" w:space="0" w:color="auto"/>
                    <w:right w:val="nil"/>
                  </w:tcBorders>
                  <w:shd w:val="clear" w:color="000000" w:fill="C9321F"/>
                  <w:noWrap/>
                  <w:vAlign w:val="center"/>
                  <w:hideMark/>
                </w:tcPr>
                <w:p w14:paraId="44C5AEB5" w14:textId="77777777" w:rsidR="005B1F48" w:rsidRDefault="005B1F48" w:rsidP="005B1F48">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500" w:type="dxa"/>
                  <w:tcBorders>
                    <w:top w:val="single" w:sz="4" w:space="0" w:color="auto"/>
                    <w:left w:val="nil"/>
                    <w:bottom w:val="single" w:sz="4" w:space="0" w:color="auto"/>
                    <w:right w:val="nil"/>
                  </w:tcBorders>
                  <w:shd w:val="clear" w:color="000000" w:fill="C9321F"/>
                  <w:noWrap/>
                  <w:vAlign w:val="center"/>
                  <w:hideMark/>
                </w:tcPr>
                <w:p w14:paraId="6ECC3E5A" w14:textId="77777777" w:rsidR="005B1F48" w:rsidRDefault="005B1F48" w:rsidP="005B1F48">
                  <w:pPr>
                    <w:jc w:val="right"/>
                    <w:rPr>
                      <w:rFonts w:ascii="Arial Narrow" w:hAnsi="Arial Narrow" w:cs="Calibri"/>
                      <w:b/>
                      <w:bCs/>
                      <w:color w:val="FFFFFF"/>
                      <w:sz w:val="18"/>
                      <w:szCs w:val="18"/>
                    </w:rPr>
                  </w:pPr>
                  <w:r>
                    <w:rPr>
                      <w:rFonts w:ascii="Arial Narrow" w:hAnsi="Arial Narrow" w:cs="Calibri"/>
                      <w:b/>
                      <w:bCs/>
                      <w:color w:val="FFFFFF"/>
                      <w:sz w:val="18"/>
                      <w:szCs w:val="18"/>
                    </w:rPr>
                    <w:t>545.130</w:t>
                  </w:r>
                </w:p>
              </w:tc>
              <w:tc>
                <w:tcPr>
                  <w:tcW w:w="1500" w:type="dxa"/>
                  <w:tcBorders>
                    <w:top w:val="single" w:sz="4" w:space="0" w:color="auto"/>
                    <w:left w:val="nil"/>
                    <w:bottom w:val="single" w:sz="4" w:space="0" w:color="auto"/>
                    <w:right w:val="nil"/>
                  </w:tcBorders>
                  <w:shd w:val="clear" w:color="000000" w:fill="C9321F"/>
                  <w:noWrap/>
                  <w:vAlign w:val="center"/>
                  <w:hideMark/>
                </w:tcPr>
                <w:p w14:paraId="2C80F26A" w14:textId="77777777" w:rsidR="005B1F48" w:rsidRDefault="005B1F48" w:rsidP="005B1F48">
                  <w:pPr>
                    <w:jc w:val="right"/>
                    <w:rPr>
                      <w:rFonts w:ascii="Arial Narrow" w:hAnsi="Arial Narrow" w:cs="Calibri"/>
                      <w:b/>
                      <w:bCs/>
                      <w:color w:val="FFFFFF"/>
                      <w:sz w:val="18"/>
                      <w:szCs w:val="18"/>
                    </w:rPr>
                  </w:pPr>
                  <w:r>
                    <w:rPr>
                      <w:rFonts w:ascii="Arial Narrow" w:hAnsi="Arial Narrow" w:cs="Calibri"/>
                      <w:b/>
                      <w:bCs/>
                      <w:color w:val="FFFFFF"/>
                      <w:sz w:val="18"/>
                      <w:szCs w:val="18"/>
                    </w:rPr>
                    <w:t>553.254</w:t>
                  </w:r>
                </w:p>
              </w:tc>
            </w:tr>
            <w:tr w:rsidR="005B1F48" w14:paraId="43397760" w14:textId="77777777" w:rsidTr="005B1F48">
              <w:trPr>
                <w:trHeight w:val="375"/>
              </w:trPr>
              <w:tc>
                <w:tcPr>
                  <w:tcW w:w="4160" w:type="dxa"/>
                  <w:gridSpan w:val="3"/>
                  <w:tcBorders>
                    <w:top w:val="nil"/>
                    <w:left w:val="nil"/>
                    <w:bottom w:val="nil"/>
                    <w:right w:val="nil"/>
                  </w:tcBorders>
                  <w:shd w:val="clear" w:color="000000" w:fill="FFFFFF"/>
                  <w:vAlign w:val="center"/>
                  <w:hideMark/>
                </w:tcPr>
                <w:p w14:paraId="695D8162" w14:textId="77777777" w:rsidR="005B1F48" w:rsidRDefault="005B1F48" w:rsidP="005B1F48">
                  <w:pPr>
                    <w:jc w:val="center"/>
                    <w:rPr>
                      <w:rFonts w:ascii="Arial Narrow" w:hAnsi="Arial Narrow" w:cs="Calibri"/>
                      <w:color w:val="000000"/>
                      <w:sz w:val="18"/>
                      <w:szCs w:val="18"/>
                    </w:rPr>
                  </w:pPr>
                  <w:r>
                    <w:rPr>
                      <w:rFonts w:ascii="Arial Narrow" w:hAnsi="Arial Narrow" w:cs="Calibri"/>
                      <w:color w:val="000000"/>
                      <w:sz w:val="18"/>
                      <w:szCs w:val="18"/>
                    </w:rPr>
                    <w:t>Valori %</w:t>
                  </w:r>
                </w:p>
              </w:tc>
            </w:tr>
            <w:tr w:rsidR="005B1F48" w14:paraId="1306897F" w14:textId="77777777" w:rsidTr="005B1F48">
              <w:trPr>
                <w:trHeight w:val="300"/>
              </w:trPr>
              <w:tc>
                <w:tcPr>
                  <w:tcW w:w="1160" w:type="dxa"/>
                  <w:tcBorders>
                    <w:top w:val="single" w:sz="4" w:space="0" w:color="auto"/>
                    <w:left w:val="nil"/>
                    <w:bottom w:val="single" w:sz="4" w:space="0" w:color="auto"/>
                    <w:right w:val="nil"/>
                  </w:tcBorders>
                  <w:shd w:val="clear" w:color="auto" w:fill="auto"/>
                  <w:noWrap/>
                  <w:vAlign w:val="center"/>
                  <w:hideMark/>
                </w:tcPr>
                <w:p w14:paraId="0EA57180" w14:textId="77777777" w:rsidR="005B1F48" w:rsidRDefault="005B1F48" w:rsidP="005B1F48">
                  <w:pPr>
                    <w:rPr>
                      <w:rFonts w:ascii="Arial Narrow" w:hAnsi="Arial Narrow" w:cs="Calibri"/>
                      <w:color w:val="000000"/>
                      <w:sz w:val="18"/>
                      <w:szCs w:val="18"/>
                    </w:rPr>
                  </w:pPr>
                  <w:r>
                    <w:rPr>
                      <w:rFonts w:ascii="Arial Narrow" w:hAnsi="Arial Narrow" w:cs="Calibri"/>
                      <w:color w:val="000000"/>
                      <w:sz w:val="18"/>
                      <w:szCs w:val="18"/>
                    </w:rPr>
                    <w:t>Femmine</w:t>
                  </w:r>
                </w:p>
              </w:tc>
              <w:tc>
                <w:tcPr>
                  <w:tcW w:w="1500" w:type="dxa"/>
                  <w:tcBorders>
                    <w:top w:val="single" w:sz="4" w:space="0" w:color="auto"/>
                    <w:left w:val="nil"/>
                    <w:bottom w:val="single" w:sz="4" w:space="0" w:color="auto"/>
                    <w:right w:val="nil"/>
                  </w:tcBorders>
                  <w:shd w:val="clear" w:color="000000" w:fill="D9D9D9"/>
                  <w:noWrap/>
                  <w:vAlign w:val="center"/>
                  <w:hideMark/>
                </w:tcPr>
                <w:p w14:paraId="7BFFE3E2"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50,8</w:t>
                  </w:r>
                </w:p>
              </w:tc>
              <w:tc>
                <w:tcPr>
                  <w:tcW w:w="1500" w:type="dxa"/>
                  <w:tcBorders>
                    <w:top w:val="single" w:sz="4" w:space="0" w:color="auto"/>
                    <w:left w:val="nil"/>
                    <w:bottom w:val="single" w:sz="4" w:space="0" w:color="auto"/>
                    <w:right w:val="nil"/>
                  </w:tcBorders>
                  <w:shd w:val="clear" w:color="000000" w:fill="FFFFFF"/>
                  <w:noWrap/>
                  <w:vAlign w:val="center"/>
                  <w:hideMark/>
                </w:tcPr>
                <w:p w14:paraId="22D651A2"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50,8</w:t>
                  </w:r>
                </w:p>
              </w:tc>
            </w:tr>
            <w:tr w:rsidR="005B1F48" w14:paraId="7F23F668" w14:textId="77777777" w:rsidTr="005B1F48">
              <w:trPr>
                <w:trHeight w:val="300"/>
              </w:trPr>
              <w:tc>
                <w:tcPr>
                  <w:tcW w:w="1160" w:type="dxa"/>
                  <w:tcBorders>
                    <w:top w:val="single" w:sz="4" w:space="0" w:color="auto"/>
                    <w:left w:val="nil"/>
                    <w:bottom w:val="single" w:sz="4" w:space="0" w:color="auto"/>
                    <w:right w:val="nil"/>
                  </w:tcBorders>
                  <w:shd w:val="clear" w:color="auto" w:fill="auto"/>
                  <w:noWrap/>
                  <w:vAlign w:val="center"/>
                  <w:hideMark/>
                </w:tcPr>
                <w:p w14:paraId="7CD59836" w14:textId="77777777" w:rsidR="005B1F48" w:rsidRDefault="005B1F48" w:rsidP="005B1F48">
                  <w:pPr>
                    <w:rPr>
                      <w:rFonts w:ascii="Arial Narrow" w:hAnsi="Arial Narrow" w:cs="Calibri"/>
                      <w:color w:val="000000"/>
                      <w:sz w:val="18"/>
                      <w:szCs w:val="18"/>
                    </w:rPr>
                  </w:pPr>
                  <w:r>
                    <w:rPr>
                      <w:rFonts w:ascii="Arial Narrow" w:hAnsi="Arial Narrow" w:cs="Calibri"/>
                      <w:color w:val="000000"/>
                      <w:sz w:val="18"/>
                      <w:szCs w:val="18"/>
                    </w:rPr>
                    <w:t>Maschi</w:t>
                  </w:r>
                </w:p>
              </w:tc>
              <w:tc>
                <w:tcPr>
                  <w:tcW w:w="1500" w:type="dxa"/>
                  <w:tcBorders>
                    <w:top w:val="single" w:sz="4" w:space="0" w:color="auto"/>
                    <w:left w:val="nil"/>
                    <w:bottom w:val="single" w:sz="4" w:space="0" w:color="auto"/>
                    <w:right w:val="nil"/>
                  </w:tcBorders>
                  <w:shd w:val="clear" w:color="000000" w:fill="D9D9D9"/>
                  <w:noWrap/>
                  <w:vAlign w:val="center"/>
                  <w:hideMark/>
                </w:tcPr>
                <w:p w14:paraId="293D4FF9"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49,2</w:t>
                  </w:r>
                </w:p>
              </w:tc>
              <w:tc>
                <w:tcPr>
                  <w:tcW w:w="1500" w:type="dxa"/>
                  <w:tcBorders>
                    <w:top w:val="single" w:sz="4" w:space="0" w:color="auto"/>
                    <w:left w:val="nil"/>
                    <w:bottom w:val="single" w:sz="4" w:space="0" w:color="auto"/>
                    <w:right w:val="nil"/>
                  </w:tcBorders>
                  <w:shd w:val="clear" w:color="000000" w:fill="FFFFFF"/>
                  <w:noWrap/>
                  <w:vAlign w:val="center"/>
                  <w:hideMark/>
                </w:tcPr>
                <w:p w14:paraId="3031BCC7" w14:textId="77777777" w:rsidR="005B1F48" w:rsidRDefault="005B1F48" w:rsidP="005B1F48">
                  <w:pPr>
                    <w:jc w:val="right"/>
                    <w:rPr>
                      <w:rFonts w:ascii="Arial Narrow" w:hAnsi="Arial Narrow" w:cs="Calibri"/>
                      <w:color w:val="000000"/>
                      <w:sz w:val="18"/>
                      <w:szCs w:val="18"/>
                    </w:rPr>
                  </w:pPr>
                  <w:r>
                    <w:rPr>
                      <w:rFonts w:ascii="Arial Narrow" w:hAnsi="Arial Narrow" w:cs="Calibri"/>
                      <w:color w:val="000000"/>
                      <w:sz w:val="18"/>
                      <w:szCs w:val="18"/>
                    </w:rPr>
                    <w:t>49,2</w:t>
                  </w:r>
                </w:p>
              </w:tc>
            </w:tr>
            <w:tr w:rsidR="005B1F48" w14:paraId="009AA0DD" w14:textId="77777777" w:rsidTr="005B1F48">
              <w:trPr>
                <w:trHeight w:val="300"/>
              </w:trPr>
              <w:tc>
                <w:tcPr>
                  <w:tcW w:w="1160" w:type="dxa"/>
                  <w:tcBorders>
                    <w:top w:val="single" w:sz="4" w:space="0" w:color="auto"/>
                    <w:left w:val="nil"/>
                    <w:bottom w:val="single" w:sz="4" w:space="0" w:color="auto"/>
                    <w:right w:val="nil"/>
                  </w:tcBorders>
                  <w:shd w:val="clear" w:color="000000" w:fill="C9321F"/>
                  <w:noWrap/>
                  <w:vAlign w:val="center"/>
                  <w:hideMark/>
                </w:tcPr>
                <w:p w14:paraId="21B0E500" w14:textId="77777777" w:rsidR="005B1F48" w:rsidRDefault="005B1F48" w:rsidP="005B1F48">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500" w:type="dxa"/>
                  <w:tcBorders>
                    <w:top w:val="single" w:sz="4" w:space="0" w:color="auto"/>
                    <w:left w:val="nil"/>
                    <w:bottom w:val="single" w:sz="4" w:space="0" w:color="auto"/>
                    <w:right w:val="nil"/>
                  </w:tcBorders>
                  <w:shd w:val="clear" w:color="000000" w:fill="C9321F"/>
                  <w:noWrap/>
                  <w:vAlign w:val="center"/>
                  <w:hideMark/>
                </w:tcPr>
                <w:p w14:paraId="1A4DF629" w14:textId="77777777" w:rsidR="005B1F48" w:rsidRDefault="005B1F48" w:rsidP="005B1F48">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1500" w:type="dxa"/>
                  <w:tcBorders>
                    <w:top w:val="single" w:sz="4" w:space="0" w:color="auto"/>
                    <w:left w:val="nil"/>
                    <w:bottom w:val="single" w:sz="4" w:space="0" w:color="auto"/>
                    <w:right w:val="nil"/>
                  </w:tcBorders>
                  <w:shd w:val="clear" w:color="000000" w:fill="C9321F"/>
                  <w:noWrap/>
                  <w:vAlign w:val="center"/>
                  <w:hideMark/>
                </w:tcPr>
                <w:p w14:paraId="3BE94F79" w14:textId="77777777" w:rsidR="005B1F48" w:rsidRDefault="005B1F48" w:rsidP="005B1F48">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14:paraId="36AF351E" w14:textId="77777777" w:rsidR="009B4983" w:rsidRDefault="009B4983" w:rsidP="00047761">
            <w:pPr>
              <w:spacing w:after="120"/>
              <w:jc w:val="both"/>
              <w:rPr>
                <w:rFonts w:ascii="Trebuchet MS" w:hAnsi="Trebuchet MS" w:cs="Arial"/>
                <w:color w:val="5F5F5F"/>
                <w:sz w:val="20"/>
                <w:szCs w:val="20"/>
              </w:rPr>
            </w:pPr>
          </w:p>
        </w:tc>
        <w:tc>
          <w:tcPr>
            <w:tcW w:w="48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957FF5" w14:textId="08EFBBBB" w:rsidR="009B4983" w:rsidRDefault="005B1F48" w:rsidP="00047761">
            <w:pPr>
              <w:spacing w:after="120"/>
              <w:jc w:val="both"/>
              <w:rPr>
                <w:rFonts w:ascii="Trebuchet MS" w:hAnsi="Trebuchet MS" w:cs="Arial"/>
                <w:color w:val="5F5F5F"/>
                <w:sz w:val="20"/>
                <w:szCs w:val="20"/>
              </w:rPr>
            </w:pPr>
            <w:r>
              <w:rPr>
                <w:noProof/>
              </w:rPr>
              <w:drawing>
                <wp:inline distT="0" distB="0" distL="0" distR="0" wp14:anchorId="7001AB41" wp14:editId="430FC2DA">
                  <wp:extent cx="3060000" cy="1980000"/>
                  <wp:effectExtent l="0" t="0" r="0" b="1270"/>
                  <wp:docPr id="1" name="Grafico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16CC6E70" w14:textId="77777777" w:rsidR="0004755B" w:rsidRPr="00B13ADF" w:rsidRDefault="0004755B" w:rsidP="0004755B">
      <w:pPr>
        <w:spacing w:after="120"/>
        <w:jc w:val="both"/>
        <w:rPr>
          <w:rFonts w:ascii="Trebuchet MS" w:hAnsi="Trebuchet MS" w:cs="Arial"/>
          <w:color w:val="5F5F5F"/>
          <w:sz w:val="16"/>
          <w:szCs w:val="16"/>
        </w:rPr>
      </w:pPr>
    </w:p>
    <w:p w14:paraId="7C13CE23" w14:textId="736ABD6B" w:rsidR="0004755B" w:rsidRPr="00570DC8" w:rsidRDefault="0004755B" w:rsidP="0004755B">
      <w:pPr>
        <w:spacing w:after="120"/>
        <w:jc w:val="both"/>
        <w:rPr>
          <w:rFonts w:ascii="Trebuchet MS" w:hAnsi="Trebuchet MS" w:cs="Arial"/>
          <w:color w:val="5F5F5F"/>
          <w:sz w:val="2"/>
          <w:szCs w:val="2"/>
        </w:rPr>
      </w:pPr>
      <w:r w:rsidRPr="00570DC8">
        <w:rPr>
          <w:rFonts w:ascii="Trebuchet MS" w:hAnsi="Trebuchet MS" w:cs="Arial"/>
          <w:color w:val="5F5F5F"/>
          <w:sz w:val="20"/>
          <w:szCs w:val="20"/>
        </w:rPr>
        <w:t xml:space="preserve">Nei territori le differenze non sono significative. Il rapporto di mascolinità più basso si registra nella provincia di </w:t>
      </w:r>
      <w:r w:rsidR="00B25FA1" w:rsidRPr="00570DC8">
        <w:rPr>
          <w:rFonts w:ascii="Trebuchet MS" w:hAnsi="Trebuchet MS" w:cs="Arial"/>
          <w:color w:val="5F5F5F"/>
          <w:sz w:val="20"/>
          <w:szCs w:val="20"/>
        </w:rPr>
        <w:t>Matera</w:t>
      </w:r>
      <w:r w:rsidRPr="00570DC8">
        <w:rPr>
          <w:rFonts w:ascii="Trebuchet MS" w:hAnsi="Trebuchet MS" w:cs="Arial"/>
          <w:color w:val="5F5F5F"/>
          <w:sz w:val="20"/>
          <w:szCs w:val="20"/>
        </w:rPr>
        <w:t xml:space="preserve"> (9</w:t>
      </w:r>
      <w:r w:rsidR="00B25FA1" w:rsidRPr="00570DC8">
        <w:rPr>
          <w:rFonts w:ascii="Trebuchet MS" w:hAnsi="Trebuchet MS" w:cs="Arial"/>
          <w:color w:val="5F5F5F"/>
          <w:sz w:val="20"/>
          <w:szCs w:val="20"/>
        </w:rPr>
        <w:t>6</w:t>
      </w:r>
      <w:r w:rsidRPr="00570DC8">
        <w:rPr>
          <w:rFonts w:ascii="Trebuchet MS" w:hAnsi="Trebuchet MS" w:cs="Arial"/>
          <w:color w:val="5F5F5F"/>
          <w:sz w:val="20"/>
          <w:szCs w:val="20"/>
        </w:rPr>
        <w:t>,</w:t>
      </w:r>
      <w:r w:rsidR="00B25FA1" w:rsidRPr="00570DC8">
        <w:rPr>
          <w:rFonts w:ascii="Trebuchet MS" w:hAnsi="Trebuchet MS" w:cs="Arial"/>
          <w:color w:val="5F5F5F"/>
          <w:sz w:val="20"/>
          <w:szCs w:val="20"/>
        </w:rPr>
        <w:t>9</w:t>
      </w:r>
      <w:r w:rsidRPr="00570DC8">
        <w:rPr>
          <w:rFonts w:ascii="Trebuchet MS" w:hAnsi="Trebuchet MS" w:cs="Arial"/>
          <w:color w:val="5F5F5F"/>
          <w:sz w:val="20"/>
          <w:szCs w:val="20"/>
        </w:rPr>
        <w:t xml:space="preserve">%), </w:t>
      </w:r>
      <w:r w:rsidR="00B25FA1" w:rsidRPr="00570DC8">
        <w:rPr>
          <w:rFonts w:ascii="Trebuchet MS" w:hAnsi="Trebuchet MS" w:cs="Arial"/>
          <w:color w:val="5F5F5F"/>
          <w:sz w:val="20"/>
          <w:szCs w:val="20"/>
        </w:rPr>
        <w:t>solo 0,3 punti più alto rispetto a Potenza</w:t>
      </w:r>
      <w:r w:rsidRPr="00570DC8">
        <w:rPr>
          <w:rFonts w:ascii="Trebuchet MS" w:hAnsi="Trebuchet MS" w:cs="Arial"/>
          <w:color w:val="5F5F5F"/>
          <w:sz w:val="20"/>
          <w:szCs w:val="20"/>
        </w:rPr>
        <w:t>. Tuttavia</w:t>
      </w:r>
      <w:r w:rsidR="00B13ADF" w:rsidRPr="00570DC8">
        <w:rPr>
          <w:rFonts w:ascii="Trebuchet MS" w:hAnsi="Trebuchet MS" w:cs="Arial"/>
          <w:color w:val="5F5F5F"/>
          <w:sz w:val="20"/>
          <w:szCs w:val="20"/>
        </w:rPr>
        <w:t xml:space="preserve">, </w:t>
      </w:r>
      <w:r w:rsidR="00C62A02" w:rsidRPr="00570DC8">
        <w:rPr>
          <w:rFonts w:ascii="Trebuchet MS" w:hAnsi="Trebuchet MS" w:cs="Arial"/>
          <w:color w:val="5F5F5F"/>
          <w:sz w:val="20"/>
          <w:szCs w:val="20"/>
        </w:rPr>
        <w:t xml:space="preserve">in </w:t>
      </w:r>
      <w:r w:rsidR="00030B87" w:rsidRPr="00570DC8">
        <w:rPr>
          <w:rFonts w:ascii="Trebuchet MS" w:hAnsi="Trebuchet MS" w:cs="Arial"/>
          <w:color w:val="5F5F5F"/>
          <w:sz w:val="20"/>
          <w:szCs w:val="20"/>
        </w:rPr>
        <w:t>3</w:t>
      </w:r>
      <w:r w:rsidRPr="00570DC8">
        <w:rPr>
          <w:rFonts w:ascii="Trebuchet MS" w:hAnsi="Trebuchet MS" w:cs="Arial"/>
          <w:color w:val="5F5F5F"/>
          <w:sz w:val="20"/>
          <w:szCs w:val="20"/>
        </w:rPr>
        <w:t>1</w:t>
      </w:r>
      <w:r w:rsidR="00B13ADF" w:rsidRPr="00570DC8">
        <w:rPr>
          <w:rFonts w:ascii="Trebuchet MS" w:hAnsi="Trebuchet MS" w:cs="Arial"/>
          <w:color w:val="5F5F5F"/>
          <w:sz w:val="20"/>
          <w:szCs w:val="20"/>
        </w:rPr>
        <w:t xml:space="preserve"> </w:t>
      </w:r>
      <w:r w:rsidRPr="00570DC8">
        <w:rPr>
          <w:rFonts w:ascii="Trebuchet MS" w:hAnsi="Trebuchet MS" w:cs="Arial"/>
          <w:color w:val="5F5F5F"/>
          <w:sz w:val="20"/>
          <w:szCs w:val="20"/>
        </w:rPr>
        <w:t xml:space="preserve">comuni </w:t>
      </w:r>
      <w:r w:rsidR="00030B87" w:rsidRPr="00570DC8">
        <w:rPr>
          <w:rFonts w:ascii="Trebuchet MS" w:hAnsi="Trebuchet MS" w:cs="Arial"/>
          <w:color w:val="5F5F5F"/>
          <w:sz w:val="20"/>
          <w:szCs w:val="20"/>
        </w:rPr>
        <w:t>lucani</w:t>
      </w:r>
      <w:r w:rsidRPr="00570DC8">
        <w:rPr>
          <w:rFonts w:ascii="Trebuchet MS" w:hAnsi="Trebuchet MS" w:cs="Arial"/>
          <w:color w:val="5F5F5F"/>
          <w:sz w:val="20"/>
          <w:szCs w:val="20"/>
        </w:rPr>
        <w:t xml:space="preserve"> il rapporto di mascolinità risulta sbilanciato a favore della componente maschile, con il primato di </w:t>
      </w:r>
      <w:r w:rsidR="00030B87" w:rsidRPr="00570DC8">
        <w:rPr>
          <w:rFonts w:ascii="Trebuchet MS" w:hAnsi="Trebuchet MS" w:cs="Arial"/>
          <w:color w:val="5F5F5F"/>
          <w:sz w:val="20"/>
          <w:szCs w:val="20"/>
        </w:rPr>
        <w:t>Gallicchio</w:t>
      </w:r>
      <w:r w:rsidRPr="00570DC8">
        <w:rPr>
          <w:rFonts w:ascii="Trebuchet MS" w:hAnsi="Trebuchet MS" w:cs="Arial"/>
          <w:color w:val="5F5F5F"/>
          <w:sz w:val="20"/>
          <w:szCs w:val="20"/>
        </w:rPr>
        <w:t xml:space="preserve"> in provincia di </w:t>
      </w:r>
      <w:r w:rsidR="00030B87" w:rsidRPr="00570DC8">
        <w:rPr>
          <w:rFonts w:ascii="Trebuchet MS" w:hAnsi="Trebuchet MS" w:cs="Arial"/>
          <w:color w:val="5F5F5F"/>
          <w:sz w:val="20"/>
          <w:szCs w:val="20"/>
        </w:rPr>
        <w:t>Potenza</w:t>
      </w:r>
      <w:r w:rsidRPr="00570DC8">
        <w:rPr>
          <w:rFonts w:ascii="Trebuchet MS" w:hAnsi="Trebuchet MS" w:cs="Arial"/>
          <w:color w:val="5F5F5F"/>
          <w:sz w:val="20"/>
          <w:szCs w:val="20"/>
        </w:rPr>
        <w:t xml:space="preserve"> (</w:t>
      </w:r>
      <w:r w:rsidR="006520F0">
        <w:rPr>
          <w:rFonts w:ascii="Trebuchet MS" w:hAnsi="Trebuchet MS" w:cs="Arial"/>
          <w:color w:val="5F5F5F"/>
          <w:sz w:val="20"/>
          <w:szCs w:val="20"/>
        </w:rPr>
        <w:t>112,4</w:t>
      </w:r>
      <w:r w:rsidRPr="00570DC8">
        <w:rPr>
          <w:rFonts w:ascii="Trebuchet MS" w:hAnsi="Trebuchet MS" w:cs="Arial"/>
          <w:color w:val="5F5F5F"/>
          <w:sz w:val="20"/>
          <w:szCs w:val="20"/>
        </w:rPr>
        <w:t xml:space="preserve">%), seguito da </w:t>
      </w:r>
      <w:r w:rsidR="00A51D0F" w:rsidRPr="00570DC8">
        <w:rPr>
          <w:rFonts w:ascii="Trebuchet MS" w:hAnsi="Trebuchet MS" w:cs="Arial"/>
          <w:color w:val="5F5F5F"/>
          <w:sz w:val="20"/>
          <w:szCs w:val="20"/>
        </w:rPr>
        <w:t>Brindisi di Montagna (106,4%) e San Martino d’Agri</w:t>
      </w:r>
      <w:r w:rsidRPr="00570DC8">
        <w:rPr>
          <w:rFonts w:ascii="Trebuchet MS" w:hAnsi="Trebuchet MS" w:cs="Arial"/>
          <w:color w:val="5F5F5F"/>
          <w:sz w:val="20"/>
          <w:szCs w:val="20"/>
        </w:rPr>
        <w:t xml:space="preserve"> (1</w:t>
      </w:r>
      <w:r w:rsidR="00A51D0F" w:rsidRPr="00570DC8">
        <w:rPr>
          <w:rFonts w:ascii="Trebuchet MS" w:hAnsi="Trebuchet MS" w:cs="Arial"/>
          <w:color w:val="5F5F5F"/>
          <w:sz w:val="20"/>
          <w:szCs w:val="20"/>
        </w:rPr>
        <w:t>05,7</w:t>
      </w:r>
      <w:r w:rsidRPr="00570DC8">
        <w:rPr>
          <w:rFonts w:ascii="Trebuchet MS" w:hAnsi="Trebuchet MS" w:cs="Arial"/>
          <w:color w:val="5F5F5F"/>
          <w:sz w:val="20"/>
          <w:szCs w:val="20"/>
        </w:rPr>
        <w:t>%)</w:t>
      </w:r>
      <w:r w:rsidR="00A51D0F" w:rsidRPr="00570DC8">
        <w:rPr>
          <w:rFonts w:ascii="Trebuchet MS" w:hAnsi="Trebuchet MS" w:cs="Arial"/>
          <w:color w:val="5F5F5F"/>
          <w:sz w:val="20"/>
          <w:szCs w:val="20"/>
        </w:rPr>
        <w:t xml:space="preserve"> sempre in provincia di Potenza</w:t>
      </w:r>
      <w:r w:rsidRPr="00570DC8">
        <w:rPr>
          <w:rFonts w:ascii="Trebuchet MS" w:hAnsi="Trebuchet MS" w:cs="Arial"/>
          <w:color w:val="5F5F5F"/>
          <w:sz w:val="20"/>
          <w:szCs w:val="20"/>
        </w:rPr>
        <w:t xml:space="preserve">. All’opposto si collocano i comuni di </w:t>
      </w:r>
      <w:r w:rsidR="00A51D0F" w:rsidRPr="00570DC8">
        <w:rPr>
          <w:rFonts w:ascii="Trebuchet MS" w:hAnsi="Trebuchet MS" w:cs="Arial"/>
          <w:color w:val="5F5F5F"/>
          <w:sz w:val="20"/>
          <w:szCs w:val="20"/>
        </w:rPr>
        <w:t>Cirigliano</w:t>
      </w:r>
      <w:r w:rsidRPr="00570DC8">
        <w:rPr>
          <w:rFonts w:ascii="Trebuchet MS" w:hAnsi="Trebuchet MS" w:cs="Arial"/>
          <w:color w:val="5F5F5F"/>
          <w:sz w:val="20"/>
          <w:szCs w:val="20"/>
        </w:rPr>
        <w:t xml:space="preserve"> (in provincia di </w:t>
      </w:r>
      <w:r w:rsidR="00A51D0F" w:rsidRPr="00570DC8">
        <w:rPr>
          <w:rFonts w:ascii="Trebuchet MS" w:hAnsi="Trebuchet MS" w:cs="Arial"/>
          <w:color w:val="5F5F5F"/>
          <w:sz w:val="20"/>
          <w:szCs w:val="20"/>
        </w:rPr>
        <w:t>Matera</w:t>
      </w:r>
      <w:r w:rsidRPr="00570DC8">
        <w:rPr>
          <w:rFonts w:ascii="Trebuchet MS" w:hAnsi="Trebuchet MS" w:cs="Arial"/>
          <w:color w:val="5F5F5F"/>
          <w:sz w:val="20"/>
          <w:szCs w:val="20"/>
        </w:rPr>
        <w:t xml:space="preserve">, </w:t>
      </w:r>
      <w:r w:rsidR="006520F0">
        <w:rPr>
          <w:rFonts w:ascii="Trebuchet MS" w:hAnsi="Trebuchet MS" w:cs="Arial"/>
          <w:color w:val="5F5F5F"/>
          <w:sz w:val="20"/>
          <w:szCs w:val="20"/>
        </w:rPr>
        <w:t>77,8</w:t>
      </w:r>
      <w:r w:rsidRPr="00570DC8">
        <w:rPr>
          <w:rFonts w:ascii="Trebuchet MS" w:hAnsi="Trebuchet MS" w:cs="Arial"/>
          <w:color w:val="5F5F5F"/>
          <w:sz w:val="20"/>
          <w:szCs w:val="20"/>
        </w:rPr>
        <w:t xml:space="preserve">%), </w:t>
      </w:r>
      <w:r w:rsidR="00A51D0F" w:rsidRPr="00570DC8">
        <w:rPr>
          <w:rFonts w:ascii="Trebuchet MS" w:hAnsi="Trebuchet MS" w:cs="Arial"/>
          <w:color w:val="5F5F5F"/>
          <w:sz w:val="20"/>
          <w:szCs w:val="20"/>
        </w:rPr>
        <w:t xml:space="preserve">Teana </w:t>
      </w:r>
      <w:r w:rsidRPr="00570DC8">
        <w:rPr>
          <w:rFonts w:ascii="Trebuchet MS" w:hAnsi="Trebuchet MS" w:cs="Arial"/>
          <w:color w:val="5F5F5F"/>
          <w:sz w:val="20"/>
          <w:szCs w:val="20"/>
        </w:rPr>
        <w:t>(in provincia di P</w:t>
      </w:r>
      <w:r w:rsidR="008402D9" w:rsidRPr="00570DC8">
        <w:rPr>
          <w:rFonts w:ascii="Trebuchet MS" w:hAnsi="Trebuchet MS" w:cs="Arial"/>
          <w:color w:val="5F5F5F"/>
          <w:sz w:val="20"/>
          <w:szCs w:val="20"/>
        </w:rPr>
        <w:t>otenza</w:t>
      </w:r>
      <w:r w:rsidRPr="00570DC8">
        <w:rPr>
          <w:rFonts w:ascii="Trebuchet MS" w:hAnsi="Trebuchet MS" w:cs="Arial"/>
          <w:color w:val="5F5F5F"/>
          <w:sz w:val="20"/>
          <w:szCs w:val="20"/>
        </w:rPr>
        <w:t>, 87,</w:t>
      </w:r>
      <w:r w:rsidR="008402D9" w:rsidRPr="00570DC8">
        <w:rPr>
          <w:rFonts w:ascii="Trebuchet MS" w:hAnsi="Trebuchet MS" w:cs="Arial"/>
          <w:color w:val="5F5F5F"/>
          <w:sz w:val="20"/>
          <w:szCs w:val="20"/>
        </w:rPr>
        <w:t>4</w:t>
      </w:r>
      <w:r w:rsidRPr="00570DC8">
        <w:rPr>
          <w:rFonts w:ascii="Trebuchet MS" w:hAnsi="Trebuchet MS" w:cs="Arial"/>
          <w:color w:val="5F5F5F"/>
          <w:sz w:val="20"/>
          <w:szCs w:val="20"/>
        </w:rPr>
        <w:t xml:space="preserve">%) e </w:t>
      </w:r>
      <w:r w:rsidR="008402D9" w:rsidRPr="00570DC8">
        <w:rPr>
          <w:rFonts w:ascii="Trebuchet MS" w:hAnsi="Trebuchet MS" w:cs="Arial"/>
          <w:color w:val="5F5F5F"/>
          <w:sz w:val="20"/>
          <w:szCs w:val="20"/>
        </w:rPr>
        <w:t>Oliveto Lucano</w:t>
      </w:r>
      <w:r w:rsidRPr="00570DC8">
        <w:rPr>
          <w:rFonts w:ascii="Trebuchet MS" w:hAnsi="Trebuchet MS" w:cs="Arial"/>
          <w:color w:val="5F5F5F"/>
          <w:sz w:val="20"/>
          <w:szCs w:val="20"/>
        </w:rPr>
        <w:t xml:space="preserve"> (in provincia di </w:t>
      </w:r>
      <w:r w:rsidR="008402D9" w:rsidRPr="00570DC8">
        <w:rPr>
          <w:rFonts w:ascii="Trebuchet MS" w:hAnsi="Trebuchet MS" w:cs="Arial"/>
          <w:color w:val="5F5F5F"/>
          <w:sz w:val="20"/>
          <w:szCs w:val="20"/>
        </w:rPr>
        <w:t>Matera</w:t>
      </w:r>
      <w:r w:rsidRPr="00570DC8">
        <w:rPr>
          <w:rFonts w:ascii="Trebuchet MS" w:hAnsi="Trebuchet MS" w:cs="Arial"/>
          <w:color w:val="5F5F5F"/>
          <w:sz w:val="20"/>
          <w:szCs w:val="20"/>
        </w:rPr>
        <w:t xml:space="preserve">), dove si osservano </w:t>
      </w:r>
      <w:r w:rsidR="008402D9" w:rsidRPr="00570DC8">
        <w:rPr>
          <w:rFonts w:ascii="Trebuchet MS" w:hAnsi="Trebuchet MS" w:cs="Arial"/>
          <w:color w:val="5F5F5F"/>
          <w:sz w:val="20"/>
          <w:szCs w:val="20"/>
        </w:rPr>
        <w:t xml:space="preserve">circa </w:t>
      </w:r>
      <w:r w:rsidRPr="00570DC8">
        <w:rPr>
          <w:rFonts w:ascii="Trebuchet MS" w:hAnsi="Trebuchet MS" w:cs="Arial"/>
          <w:color w:val="5F5F5F"/>
          <w:sz w:val="20"/>
          <w:szCs w:val="20"/>
        </w:rPr>
        <w:t xml:space="preserve">88 uomini ogni 100 donne. </w:t>
      </w:r>
    </w:p>
    <w:p w14:paraId="36E95CA7" w14:textId="47DA9E9C" w:rsidR="0004755B" w:rsidRPr="00570DC8" w:rsidRDefault="0004755B" w:rsidP="0004755B">
      <w:pPr>
        <w:spacing w:after="120"/>
        <w:jc w:val="both"/>
        <w:rPr>
          <w:rFonts w:ascii="Trebuchet MS" w:hAnsi="Trebuchet MS" w:cs="Arial"/>
          <w:color w:val="5F5F5F"/>
          <w:sz w:val="20"/>
          <w:szCs w:val="20"/>
        </w:rPr>
      </w:pPr>
      <w:r w:rsidRPr="00570DC8">
        <w:rPr>
          <w:rFonts w:ascii="Trebuchet MS" w:hAnsi="Trebuchet MS" w:cs="Arial"/>
          <w:color w:val="5F5F5F"/>
          <w:sz w:val="20"/>
          <w:szCs w:val="20"/>
        </w:rPr>
        <w:t xml:space="preserve">La popolazione </w:t>
      </w:r>
      <w:r w:rsidR="00B25FA1" w:rsidRPr="00570DC8">
        <w:rPr>
          <w:rFonts w:ascii="Trebuchet MS" w:hAnsi="Trebuchet MS" w:cs="Arial"/>
          <w:color w:val="5F5F5F"/>
          <w:sz w:val="20"/>
          <w:szCs w:val="20"/>
        </w:rPr>
        <w:t>lucana</w:t>
      </w:r>
      <w:r w:rsidRPr="00570DC8">
        <w:rPr>
          <w:rFonts w:ascii="Trebuchet MS" w:hAnsi="Trebuchet MS" w:cs="Arial"/>
          <w:color w:val="5F5F5F"/>
          <w:sz w:val="20"/>
          <w:szCs w:val="20"/>
        </w:rPr>
        <w:t xml:space="preserve"> presenta, nel 2020, una struttura per età </w:t>
      </w:r>
      <w:r w:rsidR="00905C3B">
        <w:rPr>
          <w:rFonts w:ascii="Trebuchet MS" w:hAnsi="Trebuchet MS" w:cs="Arial"/>
          <w:color w:val="5F5F5F"/>
          <w:sz w:val="20"/>
          <w:szCs w:val="20"/>
        </w:rPr>
        <w:t>leggermente</w:t>
      </w:r>
      <w:r w:rsidRPr="00570DC8">
        <w:rPr>
          <w:rFonts w:ascii="Trebuchet MS" w:hAnsi="Trebuchet MS" w:cs="Arial"/>
          <w:color w:val="5F5F5F"/>
          <w:sz w:val="20"/>
          <w:szCs w:val="20"/>
        </w:rPr>
        <w:t xml:space="preserve"> più anziana rispetto </w:t>
      </w:r>
      <w:r w:rsidR="00C62A02" w:rsidRPr="00570DC8">
        <w:rPr>
          <w:rFonts w:ascii="Trebuchet MS" w:hAnsi="Trebuchet MS" w:cs="Arial"/>
          <w:color w:val="5F5F5F"/>
          <w:sz w:val="20"/>
          <w:szCs w:val="20"/>
        </w:rPr>
        <w:t>al resto del Paese</w:t>
      </w:r>
      <w:r w:rsidRPr="00570DC8">
        <w:rPr>
          <w:rFonts w:ascii="Trebuchet MS" w:hAnsi="Trebuchet MS" w:cs="Arial"/>
          <w:color w:val="5F5F5F"/>
          <w:sz w:val="20"/>
          <w:szCs w:val="20"/>
        </w:rPr>
        <w:t>, come emerge dal profilo delle piramidi di età</w:t>
      </w:r>
      <w:r w:rsidR="00E77827" w:rsidRPr="00570DC8">
        <w:rPr>
          <w:rFonts w:ascii="Trebuchet MS" w:hAnsi="Trebuchet MS" w:cs="Arial"/>
          <w:color w:val="5F5F5F"/>
          <w:sz w:val="20"/>
          <w:szCs w:val="20"/>
        </w:rPr>
        <w:t xml:space="preserve"> (Figura 1)</w:t>
      </w:r>
      <w:r w:rsidRPr="00570DC8">
        <w:rPr>
          <w:rFonts w:ascii="Trebuchet MS" w:hAnsi="Trebuchet MS" w:cs="Arial"/>
          <w:color w:val="5F5F5F"/>
          <w:sz w:val="20"/>
          <w:szCs w:val="20"/>
        </w:rPr>
        <w:t xml:space="preserve">. </w:t>
      </w:r>
    </w:p>
    <w:p w14:paraId="73383E00" w14:textId="36CD14AA" w:rsidR="00C62A02" w:rsidRDefault="00DA4C5B" w:rsidP="00635226">
      <w:pPr>
        <w:spacing w:after="120"/>
        <w:jc w:val="both"/>
        <w:rPr>
          <w:rFonts w:ascii="Trebuchet MS" w:hAnsi="Trebuchet MS" w:cs="Arial"/>
          <w:color w:val="5F5F5F"/>
          <w:sz w:val="20"/>
          <w:szCs w:val="20"/>
        </w:rPr>
      </w:pPr>
      <w:r w:rsidRPr="00570DC8">
        <w:rPr>
          <w:rFonts w:ascii="Trebuchet MS" w:hAnsi="Trebuchet MS" w:cs="Arial"/>
          <w:color w:val="5F5F5F"/>
          <w:sz w:val="20"/>
          <w:szCs w:val="20"/>
        </w:rPr>
        <w:t>L’età media,</w:t>
      </w:r>
      <w:r w:rsidR="0051160B" w:rsidRPr="00570DC8">
        <w:rPr>
          <w:rFonts w:ascii="Trebuchet MS" w:hAnsi="Trebuchet MS" w:cs="Arial"/>
          <w:color w:val="5F5F5F"/>
          <w:sz w:val="20"/>
          <w:szCs w:val="20"/>
        </w:rPr>
        <w:t xml:space="preserve"> </w:t>
      </w:r>
      <w:r w:rsidR="008402D9" w:rsidRPr="00570DC8">
        <w:rPr>
          <w:rFonts w:ascii="Trebuchet MS" w:hAnsi="Trebuchet MS" w:cs="Arial"/>
          <w:color w:val="5F5F5F"/>
          <w:sz w:val="20"/>
          <w:szCs w:val="20"/>
        </w:rPr>
        <w:t>in lieve aumento</w:t>
      </w:r>
      <w:r w:rsidRPr="00570DC8">
        <w:rPr>
          <w:rFonts w:ascii="Trebuchet MS" w:hAnsi="Trebuchet MS" w:cs="Arial"/>
          <w:color w:val="5F5F5F"/>
          <w:sz w:val="20"/>
          <w:szCs w:val="20"/>
        </w:rPr>
        <w:t xml:space="preserve"> rispetto al 2019, è di 46 anni contro i 45,4 della media nazionale</w:t>
      </w:r>
      <w:r w:rsidR="00A833D0" w:rsidRPr="00570DC8">
        <w:rPr>
          <w:rFonts w:ascii="Trebuchet MS" w:hAnsi="Trebuchet MS" w:cs="Arial"/>
          <w:color w:val="5F5F5F"/>
          <w:sz w:val="20"/>
          <w:szCs w:val="20"/>
        </w:rPr>
        <w:t xml:space="preserve"> (Prospetto 5)</w:t>
      </w:r>
      <w:r w:rsidRPr="00570DC8">
        <w:rPr>
          <w:rFonts w:ascii="Trebuchet MS" w:hAnsi="Trebuchet MS" w:cs="Arial"/>
          <w:color w:val="5F5F5F"/>
          <w:sz w:val="20"/>
          <w:szCs w:val="20"/>
        </w:rPr>
        <w:t>. Aumenta l’indice di vecchiaia (</w:t>
      </w:r>
      <w:r w:rsidR="00215579" w:rsidRPr="00570DC8">
        <w:rPr>
          <w:rFonts w:ascii="Trebuchet MS" w:hAnsi="Trebuchet MS" w:cs="Arial"/>
          <w:color w:val="5F5F5F"/>
          <w:sz w:val="20"/>
          <w:szCs w:val="20"/>
        </w:rPr>
        <w:t>rapporto percentuale tra la</w:t>
      </w:r>
      <w:r w:rsidRPr="00570DC8">
        <w:rPr>
          <w:rFonts w:ascii="Trebuchet MS" w:hAnsi="Trebuchet MS" w:cs="Arial"/>
          <w:color w:val="5F5F5F"/>
          <w:sz w:val="20"/>
          <w:szCs w:val="20"/>
        </w:rPr>
        <w:t xml:space="preserve"> popolazione </w:t>
      </w:r>
      <w:r w:rsidR="00215579" w:rsidRPr="00570DC8">
        <w:rPr>
          <w:rFonts w:ascii="Trebuchet MS" w:hAnsi="Trebuchet MS" w:cs="Arial"/>
          <w:color w:val="5F5F5F"/>
          <w:sz w:val="20"/>
          <w:szCs w:val="20"/>
        </w:rPr>
        <w:t>di</w:t>
      </w:r>
      <w:r w:rsidRPr="00570DC8">
        <w:rPr>
          <w:rFonts w:ascii="Trebuchet MS" w:hAnsi="Trebuchet MS" w:cs="Arial"/>
          <w:color w:val="5F5F5F"/>
          <w:sz w:val="20"/>
          <w:szCs w:val="20"/>
        </w:rPr>
        <w:t xml:space="preserve"> 65</w:t>
      </w:r>
      <w:r w:rsidR="00215579" w:rsidRPr="00570DC8">
        <w:rPr>
          <w:rFonts w:ascii="Trebuchet MS" w:hAnsi="Trebuchet MS" w:cs="Arial"/>
          <w:color w:val="5F5F5F"/>
          <w:sz w:val="20"/>
          <w:szCs w:val="20"/>
        </w:rPr>
        <w:t xml:space="preserve"> anni</w:t>
      </w:r>
      <w:r w:rsidRPr="00570DC8">
        <w:rPr>
          <w:rFonts w:ascii="Trebuchet MS" w:hAnsi="Trebuchet MS" w:cs="Arial"/>
          <w:color w:val="5F5F5F"/>
          <w:sz w:val="20"/>
          <w:szCs w:val="20"/>
        </w:rPr>
        <w:t xml:space="preserve"> e più </w:t>
      </w:r>
      <w:r w:rsidR="00215579" w:rsidRPr="00570DC8">
        <w:rPr>
          <w:rFonts w:ascii="Trebuchet MS" w:hAnsi="Trebuchet MS" w:cs="Arial"/>
          <w:color w:val="5F5F5F"/>
          <w:sz w:val="20"/>
          <w:szCs w:val="20"/>
        </w:rPr>
        <w:t>e la</w:t>
      </w:r>
      <w:r w:rsidRPr="00570DC8">
        <w:rPr>
          <w:rFonts w:ascii="Trebuchet MS" w:hAnsi="Trebuchet MS" w:cs="Arial"/>
          <w:color w:val="5F5F5F"/>
          <w:sz w:val="20"/>
          <w:szCs w:val="20"/>
        </w:rPr>
        <w:t xml:space="preserve"> popolazione </w:t>
      </w:r>
      <w:r w:rsidR="005569D9" w:rsidRPr="00570DC8">
        <w:rPr>
          <w:rFonts w:ascii="Trebuchet MS" w:hAnsi="Trebuchet MS" w:cs="Arial"/>
          <w:color w:val="5F5F5F"/>
          <w:sz w:val="20"/>
          <w:szCs w:val="20"/>
        </w:rPr>
        <w:t xml:space="preserve">di </w:t>
      </w:r>
      <w:r w:rsidRPr="00570DC8">
        <w:rPr>
          <w:rFonts w:ascii="Trebuchet MS" w:hAnsi="Trebuchet MS" w:cs="Arial"/>
          <w:color w:val="5F5F5F"/>
          <w:sz w:val="20"/>
          <w:szCs w:val="20"/>
        </w:rPr>
        <w:t>età 0-14)</w:t>
      </w:r>
      <w:r w:rsidR="00E77827" w:rsidRPr="00570DC8">
        <w:rPr>
          <w:rFonts w:ascii="Trebuchet MS" w:hAnsi="Trebuchet MS" w:cs="Arial"/>
          <w:color w:val="5F5F5F"/>
          <w:sz w:val="20"/>
          <w:szCs w:val="20"/>
        </w:rPr>
        <w:t>,</w:t>
      </w:r>
      <w:r w:rsidRPr="00570DC8">
        <w:rPr>
          <w:rFonts w:ascii="Trebuchet MS" w:hAnsi="Trebuchet MS" w:cs="Arial"/>
          <w:color w:val="5F5F5F"/>
          <w:sz w:val="20"/>
          <w:szCs w:val="20"/>
        </w:rPr>
        <w:t xml:space="preserve"> che passa da 2</w:t>
      </w:r>
      <w:r w:rsidR="008402D9" w:rsidRPr="00570DC8">
        <w:rPr>
          <w:rFonts w:ascii="Trebuchet MS" w:hAnsi="Trebuchet MS" w:cs="Arial"/>
          <w:color w:val="5F5F5F"/>
          <w:sz w:val="20"/>
          <w:szCs w:val="20"/>
        </w:rPr>
        <w:t>00</w:t>
      </w:r>
      <w:r w:rsidRPr="00570DC8">
        <w:rPr>
          <w:rFonts w:ascii="Trebuchet MS" w:hAnsi="Trebuchet MS" w:cs="Arial"/>
          <w:color w:val="5F5F5F"/>
          <w:sz w:val="20"/>
          <w:szCs w:val="20"/>
        </w:rPr>
        <w:t>,</w:t>
      </w:r>
      <w:r w:rsidR="008402D9" w:rsidRPr="00570DC8">
        <w:rPr>
          <w:rFonts w:ascii="Trebuchet MS" w:hAnsi="Trebuchet MS" w:cs="Arial"/>
          <w:color w:val="5F5F5F"/>
          <w:sz w:val="20"/>
          <w:szCs w:val="20"/>
        </w:rPr>
        <w:t>8</w:t>
      </w:r>
      <w:r w:rsidRPr="00570DC8">
        <w:rPr>
          <w:rFonts w:ascii="Trebuchet MS" w:hAnsi="Trebuchet MS" w:cs="Arial"/>
          <w:color w:val="5F5F5F"/>
          <w:sz w:val="20"/>
          <w:szCs w:val="20"/>
        </w:rPr>
        <w:t xml:space="preserve"> del 2019 a 2</w:t>
      </w:r>
      <w:r w:rsidR="008402D9" w:rsidRPr="00570DC8">
        <w:rPr>
          <w:rFonts w:ascii="Trebuchet MS" w:hAnsi="Trebuchet MS" w:cs="Arial"/>
          <w:color w:val="5F5F5F"/>
          <w:sz w:val="20"/>
          <w:szCs w:val="20"/>
        </w:rPr>
        <w:t>06</w:t>
      </w:r>
      <w:r w:rsidRPr="00570DC8">
        <w:rPr>
          <w:rFonts w:ascii="Trebuchet MS" w:hAnsi="Trebuchet MS" w:cs="Arial"/>
          <w:color w:val="5F5F5F"/>
          <w:sz w:val="20"/>
          <w:szCs w:val="20"/>
        </w:rPr>
        <w:t>,6 del 2020</w:t>
      </w:r>
      <w:r w:rsidR="00AD151B" w:rsidRPr="00570DC8">
        <w:rPr>
          <w:rFonts w:ascii="Trebuchet MS" w:hAnsi="Trebuchet MS" w:cs="Arial"/>
          <w:color w:val="5F5F5F"/>
          <w:sz w:val="20"/>
          <w:szCs w:val="20"/>
        </w:rPr>
        <w:t xml:space="preserve"> e</w:t>
      </w:r>
      <w:r w:rsidRPr="00570DC8">
        <w:rPr>
          <w:rFonts w:ascii="Trebuchet MS" w:hAnsi="Trebuchet MS" w:cs="Arial"/>
          <w:color w:val="5F5F5F"/>
          <w:sz w:val="20"/>
          <w:szCs w:val="20"/>
        </w:rPr>
        <w:t xml:space="preserve"> l’indice di dipendenza degli anziani (</w:t>
      </w:r>
      <w:r w:rsidR="00215579" w:rsidRPr="00570DC8">
        <w:rPr>
          <w:rFonts w:ascii="Trebuchet MS" w:hAnsi="Trebuchet MS" w:cs="Arial"/>
          <w:color w:val="5F5F5F"/>
          <w:sz w:val="20"/>
          <w:szCs w:val="20"/>
        </w:rPr>
        <w:t>rapporto percentuale tra la</w:t>
      </w:r>
      <w:r w:rsidRPr="00570DC8">
        <w:rPr>
          <w:rFonts w:ascii="Trebuchet MS" w:hAnsi="Trebuchet MS" w:cs="Arial"/>
          <w:color w:val="5F5F5F"/>
          <w:sz w:val="20"/>
          <w:szCs w:val="20"/>
        </w:rPr>
        <w:t xml:space="preserve"> popolazione </w:t>
      </w:r>
      <w:r w:rsidR="00215579" w:rsidRPr="00570DC8">
        <w:rPr>
          <w:rFonts w:ascii="Trebuchet MS" w:hAnsi="Trebuchet MS" w:cs="Arial"/>
          <w:color w:val="5F5F5F"/>
          <w:sz w:val="20"/>
          <w:szCs w:val="20"/>
        </w:rPr>
        <w:t>di</w:t>
      </w:r>
      <w:r w:rsidRPr="00570DC8">
        <w:rPr>
          <w:rFonts w:ascii="Trebuchet MS" w:hAnsi="Trebuchet MS" w:cs="Arial"/>
          <w:color w:val="5F5F5F"/>
          <w:sz w:val="20"/>
          <w:szCs w:val="20"/>
        </w:rPr>
        <w:t xml:space="preserve"> 65</w:t>
      </w:r>
      <w:r w:rsidR="00215579" w:rsidRPr="00570DC8">
        <w:rPr>
          <w:rFonts w:ascii="Trebuchet MS" w:hAnsi="Trebuchet MS" w:cs="Arial"/>
          <w:color w:val="5F5F5F"/>
          <w:sz w:val="20"/>
          <w:szCs w:val="20"/>
        </w:rPr>
        <w:t xml:space="preserve"> anni</w:t>
      </w:r>
      <w:r w:rsidRPr="00570DC8">
        <w:rPr>
          <w:rFonts w:ascii="Trebuchet MS" w:hAnsi="Trebuchet MS" w:cs="Arial"/>
          <w:color w:val="5F5F5F"/>
          <w:sz w:val="20"/>
          <w:szCs w:val="20"/>
        </w:rPr>
        <w:t xml:space="preserve"> e più </w:t>
      </w:r>
      <w:r w:rsidR="00215579" w:rsidRPr="00570DC8">
        <w:rPr>
          <w:rFonts w:ascii="Trebuchet MS" w:hAnsi="Trebuchet MS" w:cs="Arial"/>
          <w:color w:val="5F5F5F"/>
          <w:sz w:val="20"/>
          <w:szCs w:val="20"/>
        </w:rPr>
        <w:t xml:space="preserve">e la </w:t>
      </w:r>
      <w:r w:rsidRPr="00570DC8">
        <w:rPr>
          <w:rFonts w:ascii="Trebuchet MS" w:hAnsi="Trebuchet MS" w:cs="Arial"/>
          <w:color w:val="5F5F5F"/>
          <w:sz w:val="20"/>
          <w:szCs w:val="20"/>
        </w:rPr>
        <w:t>popolazione in età 15-64)</w:t>
      </w:r>
      <w:r w:rsidR="00AD151B" w:rsidRPr="00570DC8">
        <w:rPr>
          <w:rFonts w:ascii="Trebuchet MS" w:hAnsi="Trebuchet MS" w:cs="Arial"/>
          <w:color w:val="5F5F5F"/>
          <w:sz w:val="20"/>
          <w:szCs w:val="20"/>
        </w:rPr>
        <w:t>, che passa da 36,3 a 37,5</w:t>
      </w:r>
      <w:r w:rsidRPr="00570DC8">
        <w:rPr>
          <w:rFonts w:ascii="Trebuchet MS" w:hAnsi="Trebuchet MS" w:cs="Arial"/>
          <w:color w:val="5F5F5F"/>
          <w:sz w:val="20"/>
          <w:szCs w:val="20"/>
        </w:rPr>
        <w:t xml:space="preserve">. </w:t>
      </w:r>
      <w:r w:rsidR="00BA6DB5">
        <w:rPr>
          <w:rFonts w:ascii="Trebuchet MS" w:hAnsi="Trebuchet MS" w:cs="Arial"/>
          <w:color w:val="5F5F5F"/>
          <w:sz w:val="20"/>
          <w:szCs w:val="20"/>
        </w:rPr>
        <w:t>Aumenta anche</w:t>
      </w:r>
      <w:r w:rsidRPr="00570DC8">
        <w:rPr>
          <w:rFonts w:ascii="Trebuchet MS" w:hAnsi="Trebuchet MS" w:cs="Arial"/>
          <w:color w:val="5F5F5F"/>
          <w:sz w:val="20"/>
          <w:szCs w:val="20"/>
        </w:rPr>
        <w:t xml:space="preserve"> il rapporto tra la componente più anziana e quella più giovane della popolazione in età lavorativa</w:t>
      </w:r>
      <w:r w:rsidRPr="005565AB">
        <w:rPr>
          <w:rFonts w:ascii="Trebuchet MS" w:hAnsi="Trebuchet MS" w:cs="Arial"/>
          <w:color w:val="5F5F5F"/>
          <w:sz w:val="20"/>
          <w:szCs w:val="20"/>
        </w:rPr>
        <w:t xml:space="preserve"> </w:t>
      </w:r>
      <w:r w:rsidRPr="00570DC8">
        <w:rPr>
          <w:rFonts w:ascii="Trebuchet MS" w:hAnsi="Trebuchet MS" w:cs="Arial"/>
          <w:color w:val="5F5F5F"/>
          <w:sz w:val="20"/>
          <w:szCs w:val="20"/>
        </w:rPr>
        <w:t>(indice di struttura della popolazione attiva): nel 2020 ci sono 1</w:t>
      </w:r>
      <w:r w:rsidR="001116AB" w:rsidRPr="00570DC8">
        <w:rPr>
          <w:rFonts w:ascii="Trebuchet MS" w:hAnsi="Trebuchet MS" w:cs="Arial"/>
          <w:color w:val="5F5F5F"/>
          <w:sz w:val="20"/>
          <w:szCs w:val="20"/>
        </w:rPr>
        <w:t>35,7</w:t>
      </w:r>
      <w:r w:rsidRPr="00570DC8">
        <w:rPr>
          <w:rFonts w:ascii="Trebuchet MS" w:hAnsi="Trebuchet MS" w:cs="Arial"/>
          <w:color w:val="5F5F5F"/>
          <w:sz w:val="20"/>
          <w:szCs w:val="20"/>
        </w:rPr>
        <w:t xml:space="preserve"> residenti nella classe di età 40-64 ogni 100 </w:t>
      </w:r>
      <w:r w:rsidR="00215579" w:rsidRPr="00570DC8">
        <w:rPr>
          <w:rFonts w:ascii="Trebuchet MS" w:hAnsi="Trebuchet MS" w:cs="Arial"/>
          <w:color w:val="5F5F5F"/>
          <w:sz w:val="20"/>
          <w:szCs w:val="20"/>
        </w:rPr>
        <w:t>di</w:t>
      </w:r>
      <w:r w:rsidRPr="00570DC8">
        <w:rPr>
          <w:rFonts w:ascii="Trebuchet MS" w:hAnsi="Trebuchet MS" w:cs="Arial"/>
          <w:color w:val="5F5F5F"/>
          <w:sz w:val="20"/>
          <w:szCs w:val="20"/>
        </w:rPr>
        <w:t xml:space="preserve"> 15</w:t>
      </w:r>
      <w:r w:rsidR="00215579" w:rsidRPr="00570DC8">
        <w:rPr>
          <w:rFonts w:ascii="Trebuchet MS" w:hAnsi="Trebuchet MS" w:cs="Arial"/>
          <w:color w:val="5F5F5F"/>
          <w:sz w:val="20"/>
          <w:szCs w:val="20"/>
        </w:rPr>
        <w:t>-</w:t>
      </w:r>
      <w:r w:rsidRPr="00570DC8">
        <w:rPr>
          <w:rFonts w:ascii="Trebuchet MS" w:hAnsi="Trebuchet MS" w:cs="Arial"/>
          <w:color w:val="5F5F5F"/>
          <w:sz w:val="20"/>
          <w:szCs w:val="20"/>
        </w:rPr>
        <w:t xml:space="preserve">39 anni </w:t>
      </w:r>
      <w:r w:rsidR="00215579" w:rsidRPr="00570DC8">
        <w:rPr>
          <w:rFonts w:ascii="Trebuchet MS" w:hAnsi="Trebuchet MS" w:cs="Arial"/>
          <w:color w:val="5F5F5F"/>
          <w:sz w:val="20"/>
          <w:szCs w:val="20"/>
        </w:rPr>
        <w:t>(</w:t>
      </w:r>
      <w:r w:rsidRPr="00570DC8">
        <w:rPr>
          <w:rFonts w:ascii="Trebuchet MS" w:hAnsi="Trebuchet MS" w:cs="Arial"/>
          <w:color w:val="5F5F5F"/>
          <w:sz w:val="20"/>
          <w:szCs w:val="20"/>
        </w:rPr>
        <w:t>1</w:t>
      </w:r>
      <w:r w:rsidR="001116AB" w:rsidRPr="00570DC8">
        <w:rPr>
          <w:rFonts w:ascii="Trebuchet MS" w:hAnsi="Trebuchet MS" w:cs="Arial"/>
          <w:color w:val="5F5F5F"/>
          <w:sz w:val="20"/>
          <w:szCs w:val="20"/>
        </w:rPr>
        <w:t>3</w:t>
      </w:r>
      <w:r w:rsidRPr="00570DC8">
        <w:rPr>
          <w:rFonts w:ascii="Trebuchet MS" w:hAnsi="Trebuchet MS" w:cs="Arial"/>
          <w:color w:val="5F5F5F"/>
          <w:sz w:val="20"/>
          <w:szCs w:val="20"/>
        </w:rPr>
        <w:t xml:space="preserve">3,3 </w:t>
      </w:r>
      <w:r w:rsidR="00215579" w:rsidRPr="00570DC8">
        <w:rPr>
          <w:rFonts w:ascii="Trebuchet MS" w:hAnsi="Trebuchet MS" w:cs="Arial"/>
          <w:color w:val="5F5F5F"/>
          <w:sz w:val="20"/>
          <w:szCs w:val="20"/>
        </w:rPr>
        <w:t>n</w:t>
      </w:r>
      <w:r w:rsidRPr="00570DC8">
        <w:rPr>
          <w:rFonts w:ascii="Trebuchet MS" w:hAnsi="Trebuchet MS" w:cs="Arial"/>
          <w:color w:val="5F5F5F"/>
          <w:sz w:val="20"/>
          <w:szCs w:val="20"/>
        </w:rPr>
        <w:t>el 2019</w:t>
      </w:r>
      <w:r w:rsidR="00215579" w:rsidRPr="00570DC8">
        <w:rPr>
          <w:rFonts w:ascii="Trebuchet MS" w:hAnsi="Trebuchet MS" w:cs="Arial"/>
          <w:color w:val="5F5F5F"/>
          <w:sz w:val="20"/>
          <w:szCs w:val="20"/>
        </w:rPr>
        <w:t>)</w:t>
      </w:r>
      <w:r w:rsidRPr="00570DC8">
        <w:rPr>
          <w:rFonts w:ascii="Trebuchet MS" w:hAnsi="Trebuchet MS" w:cs="Arial"/>
          <w:color w:val="5F5F5F"/>
          <w:sz w:val="20"/>
          <w:szCs w:val="20"/>
        </w:rPr>
        <w:t>.</w:t>
      </w:r>
      <w:r w:rsidR="00D26C74" w:rsidRPr="00570DC8">
        <w:rPr>
          <w:rFonts w:ascii="Trebuchet MS" w:hAnsi="Trebuchet MS" w:cs="Arial"/>
          <w:color w:val="5F5F5F"/>
          <w:sz w:val="20"/>
          <w:szCs w:val="20"/>
        </w:rPr>
        <w:t xml:space="preserve"> </w:t>
      </w:r>
    </w:p>
    <w:p w14:paraId="749E8E4E" w14:textId="77777777" w:rsidR="003A0F52" w:rsidRPr="00570DC8" w:rsidRDefault="003A0F52" w:rsidP="00635226">
      <w:pPr>
        <w:spacing w:after="120"/>
        <w:jc w:val="both"/>
        <w:rPr>
          <w:rFonts w:ascii="Trebuchet MS" w:hAnsi="Trebuchet MS" w:cs="Arial"/>
          <w:color w:val="5F5F5F"/>
          <w:sz w:val="20"/>
          <w:szCs w:val="20"/>
        </w:rPr>
      </w:pPr>
    </w:p>
    <w:p w14:paraId="099AD7F6" w14:textId="435A50AC" w:rsidR="00635226" w:rsidRPr="00570DC8" w:rsidRDefault="00703628" w:rsidP="00635226">
      <w:pPr>
        <w:spacing w:after="120"/>
        <w:jc w:val="both"/>
        <w:rPr>
          <w:rFonts w:ascii="Trebuchet MS" w:hAnsi="Trebuchet MS" w:cs="Arial"/>
          <w:color w:val="5F5F5F"/>
          <w:sz w:val="20"/>
          <w:szCs w:val="20"/>
        </w:rPr>
      </w:pPr>
      <w:r w:rsidRPr="00570DC8">
        <w:rPr>
          <w:rFonts w:ascii="Trebuchet MS" w:hAnsi="Trebuchet MS" w:cs="Arial"/>
          <w:color w:val="5F5F5F"/>
          <w:sz w:val="20"/>
          <w:szCs w:val="20"/>
        </w:rPr>
        <w:lastRenderedPageBreak/>
        <w:t>A livello provinciale</w:t>
      </w:r>
      <w:r w:rsidR="00215579" w:rsidRPr="00570DC8">
        <w:rPr>
          <w:rFonts w:ascii="Trebuchet MS" w:hAnsi="Trebuchet MS" w:cs="Arial"/>
          <w:color w:val="5F5F5F"/>
          <w:sz w:val="20"/>
          <w:szCs w:val="20"/>
        </w:rPr>
        <w:t>,</w:t>
      </w:r>
      <w:r w:rsidRPr="00570DC8">
        <w:rPr>
          <w:rFonts w:ascii="Trebuchet MS" w:hAnsi="Trebuchet MS" w:cs="Arial"/>
          <w:color w:val="5F5F5F"/>
          <w:sz w:val="20"/>
          <w:szCs w:val="20"/>
        </w:rPr>
        <w:t xml:space="preserve"> </w:t>
      </w:r>
      <w:r w:rsidR="00421DC8" w:rsidRPr="00570DC8">
        <w:rPr>
          <w:rFonts w:ascii="Trebuchet MS" w:hAnsi="Trebuchet MS" w:cs="Arial"/>
          <w:color w:val="5F5F5F"/>
          <w:sz w:val="20"/>
          <w:szCs w:val="20"/>
        </w:rPr>
        <w:t>Matera</w:t>
      </w:r>
      <w:r w:rsidR="0090088B" w:rsidRPr="00570DC8">
        <w:rPr>
          <w:rFonts w:ascii="Trebuchet MS" w:hAnsi="Trebuchet MS" w:cs="Arial"/>
          <w:color w:val="5F5F5F"/>
          <w:sz w:val="20"/>
          <w:szCs w:val="20"/>
        </w:rPr>
        <w:t xml:space="preserve"> presenta</w:t>
      </w:r>
      <w:r w:rsidR="00421DC8" w:rsidRPr="00570DC8">
        <w:rPr>
          <w:rFonts w:ascii="Trebuchet MS" w:hAnsi="Trebuchet MS" w:cs="Arial"/>
          <w:color w:val="5F5F5F"/>
          <w:sz w:val="20"/>
          <w:szCs w:val="20"/>
        </w:rPr>
        <w:t xml:space="preserve"> </w:t>
      </w:r>
      <w:r w:rsidR="0090088B" w:rsidRPr="00570DC8">
        <w:rPr>
          <w:rFonts w:ascii="Trebuchet MS" w:hAnsi="Trebuchet MS" w:cs="Arial"/>
          <w:color w:val="5F5F5F"/>
          <w:sz w:val="20"/>
          <w:szCs w:val="20"/>
        </w:rPr>
        <w:t>la struttura demografica più giovane, con un’età media di 4</w:t>
      </w:r>
      <w:r w:rsidR="00421DC8" w:rsidRPr="00570DC8">
        <w:rPr>
          <w:rFonts w:ascii="Trebuchet MS" w:hAnsi="Trebuchet MS" w:cs="Arial"/>
          <w:color w:val="5F5F5F"/>
          <w:sz w:val="20"/>
          <w:szCs w:val="20"/>
        </w:rPr>
        <w:t>5,</w:t>
      </w:r>
      <w:r w:rsidR="0090088B" w:rsidRPr="00570DC8">
        <w:rPr>
          <w:rFonts w:ascii="Trebuchet MS" w:hAnsi="Trebuchet MS" w:cs="Arial"/>
          <w:color w:val="5F5F5F"/>
          <w:sz w:val="20"/>
          <w:szCs w:val="20"/>
        </w:rPr>
        <w:t>4</w:t>
      </w:r>
      <w:r w:rsidR="00421DC8" w:rsidRPr="00570DC8">
        <w:rPr>
          <w:rFonts w:ascii="Trebuchet MS" w:hAnsi="Trebuchet MS" w:cs="Arial"/>
          <w:color w:val="5F5F5F"/>
          <w:sz w:val="20"/>
          <w:szCs w:val="20"/>
        </w:rPr>
        <w:t xml:space="preserve"> </w:t>
      </w:r>
      <w:r w:rsidR="0090088B" w:rsidRPr="00570DC8">
        <w:rPr>
          <w:rFonts w:ascii="Trebuchet MS" w:hAnsi="Trebuchet MS" w:cs="Arial"/>
          <w:color w:val="5F5F5F"/>
          <w:sz w:val="20"/>
          <w:szCs w:val="20"/>
        </w:rPr>
        <w:t>anni</w:t>
      </w:r>
      <w:r w:rsidRPr="00570DC8">
        <w:rPr>
          <w:rFonts w:ascii="Trebuchet MS" w:hAnsi="Trebuchet MS" w:cs="Arial"/>
          <w:color w:val="5F5F5F"/>
          <w:sz w:val="20"/>
          <w:szCs w:val="20"/>
        </w:rPr>
        <w:t xml:space="preserve"> e </w:t>
      </w:r>
      <w:r w:rsidR="000C6C65" w:rsidRPr="00570DC8">
        <w:rPr>
          <w:rFonts w:ascii="Trebuchet MS" w:hAnsi="Trebuchet MS" w:cs="Arial"/>
          <w:color w:val="5F5F5F"/>
          <w:sz w:val="20"/>
          <w:szCs w:val="20"/>
        </w:rPr>
        <w:t>l</w:t>
      </w:r>
      <w:r w:rsidR="00810EBA" w:rsidRPr="00570DC8">
        <w:rPr>
          <w:rFonts w:ascii="Trebuchet MS" w:hAnsi="Trebuchet MS" w:cs="Arial"/>
          <w:color w:val="5F5F5F"/>
          <w:sz w:val="20"/>
          <w:szCs w:val="20"/>
        </w:rPr>
        <w:t>’</w:t>
      </w:r>
      <w:r w:rsidR="0090088B" w:rsidRPr="00570DC8">
        <w:rPr>
          <w:rFonts w:ascii="Trebuchet MS" w:hAnsi="Trebuchet MS" w:cs="Arial"/>
          <w:color w:val="5F5F5F"/>
          <w:sz w:val="20"/>
          <w:szCs w:val="20"/>
        </w:rPr>
        <w:t xml:space="preserve">indice di vecchiaia </w:t>
      </w:r>
      <w:r w:rsidR="00421DC8" w:rsidRPr="00570DC8">
        <w:rPr>
          <w:rFonts w:ascii="Trebuchet MS" w:hAnsi="Trebuchet MS" w:cs="Arial"/>
          <w:color w:val="5F5F5F"/>
          <w:sz w:val="20"/>
          <w:szCs w:val="20"/>
        </w:rPr>
        <w:t>pari a 194,5</w:t>
      </w:r>
      <w:r w:rsidRPr="00570DC8">
        <w:rPr>
          <w:rFonts w:ascii="Trebuchet MS" w:hAnsi="Trebuchet MS" w:cs="Arial"/>
          <w:color w:val="5F5F5F"/>
          <w:sz w:val="20"/>
          <w:szCs w:val="20"/>
        </w:rPr>
        <w:t xml:space="preserve">. </w:t>
      </w:r>
      <w:r w:rsidR="009D439F" w:rsidRPr="00570DC8">
        <w:rPr>
          <w:rFonts w:ascii="Trebuchet MS" w:hAnsi="Trebuchet MS" w:cs="Arial"/>
          <w:color w:val="5F5F5F"/>
          <w:sz w:val="20"/>
          <w:szCs w:val="20"/>
        </w:rPr>
        <w:t xml:space="preserve">Matera registra inoltre </w:t>
      </w:r>
      <w:r w:rsidRPr="00570DC8">
        <w:rPr>
          <w:rFonts w:ascii="Trebuchet MS" w:hAnsi="Trebuchet MS" w:cs="Arial"/>
          <w:color w:val="5F5F5F"/>
          <w:sz w:val="20"/>
          <w:szCs w:val="20"/>
        </w:rPr>
        <w:t xml:space="preserve">un </w:t>
      </w:r>
      <w:r w:rsidR="0042636F" w:rsidRPr="00570DC8">
        <w:rPr>
          <w:rFonts w:ascii="Trebuchet MS" w:hAnsi="Trebuchet MS" w:cs="Arial"/>
          <w:color w:val="5F5F5F"/>
          <w:sz w:val="20"/>
          <w:szCs w:val="20"/>
        </w:rPr>
        <w:t>indice di dipendenza degli anziani pari a</w:t>
      </w:r>
      <w:r w:rsidR="009D439F" w:rsidRPr="00570DC8">
        <w:rPr>
          <w:rFonts w:ascii="Trebuchet MS" w:hAnsi="Trebuchet MS" w:cs="Arial"/>
          <w:color w:val="5F5F5F"/>
          <w:sz w:val="20"/>
          <w:szCs w:val="20"/>
        </w:rPr>
        <w:t xml:space="preserve"> 36,6</w:t>
      </w:r>
      <w:r w:rsidR="0042636F" w:rsidRPr="00570DC8">
        <w:rPr>
          <w:rFonts w:ascii="Trebuchet MS" w:hAnsi="Trebuchet MS" w:cs="Arial"/>
          <w:color w:val="5F5F5F"/>
          <w:sz w:val="20"/>
          <w:szCs w:val="20"/>
        </w:rPr>
        <w:t xml:space="preserve"> e un indice di strutt</w:t>
      </w:r>
      <w:r w:rsidR="00BF45E2" w:rsidRPr="00570DC8">
        <w:rPr>
          <w:rFonts w:ascii="Trebuchet MS" w:hAnsi="Trebuchet MS" w:cs="Arial"/>
          <w:color w:val="5F5F5F"/>
          <w:sz w:val="20"/>
          <w:szCs w:val="20"/>
        </w:rPr>
        <w:t>u</w:t>
      </w:r>
      <w:r w:rsidR="0042636F" w:rsidRPr="00570DC8">
        <w:rPr>
          <w:rFonts w:ascii="Trebuchet MS" w:hAnsi="Trebuchet MS" w:cs="Arial"/>
          <w:color w:val="5F5F5F"/>
          <w:sz w:val="20"/>
          <w:szCs w:val="20"/>
        </w:rPr>
        <w:t xml:space="preserve">ra della popolazione attiva </w:t>
      </w:r>
      <w:r w:rsidR="009D439F" w:rsidRPr="00570DC8">
        <w:rPr>
          <w:rFonts w:ascii="Trebuchet MS" w:hAnsi="Trebuchet MS" w:cs="Arial"/>
          <w:color w:val="5F5F5F"/>
          <w:sz w:val="20"/>
          <w:szCs w:val="20"/>
        </w:rPr>
        <w:t xml:space="preserve">(130,8) </w:t>
      </w:r>
      <w:r w:rsidR="0042636F" w:rsidRPr="00570DC8">
        <w:rPr>
          <w:rFonts w:ascii="Trebuchet MS" w:hAnsi="Trebuchet MS" w:cs="Arial"/>
          <w:color w:val="5F5F5F"/>
          <w:sz w:val="20"/>
          <w:szCs w:val="20"/>
        </w:rPr>
        <w:t>inferior</w:t>
      </w:r>
      <w:r w:rsidR="009D439F" w:rsidRPr="00570DC8">
        <w:rPr>
          <w:rFonts w:ascii="Trebuchet MS" w:hAnsi="Trebuchet MS" w:cs="Arial"/>
          <w:color w:val="5F5F5F"/>
          <w:sz w:val="20"/>
          <w:szCs w:val="20"/>
        </w:rPr>
        <w:t>i</w:t>
      </w:r>
      <w:r w:rsidR="0042636F" w:rsidRPr="00570DC8">
        <w:rPr>
          <w:rFonts w:ascii="Trebuchet MS" w:hAnsi="Trebuchet MS" w:cs="Arial"/>
          <w:color w:val="5F5F5F"/>
          <w:sz w:val="20"/>
          <w:szCs w:val="20"/>
        </w:rPr>
        <w:t xml:space="preserve"> alla media regionale.</w:t>
      </w:r>
    </w:p>
    <w:p w14:paraId="09A7EEBD" w14:textId="13C9FC26" w:rsidR="0042636F" w:rsidRDefault="0042636F" w:rsidP="00635226">
      <w:pPr>
        <w:spacing w:after="120"/>
        <w:jc w:val="both"/>
        <w:rPr>
          <w:rFonts w:ascii="Trebuchet MS" w:hAnsi="Trebuchet MS" w:cs="Arial"/>
          <w:color w:val="5F5F5F"/>
          <w:sz w:val="20"/>
          <w:szCs w:val="20"/>
        </w:rPr>
      </w:pPr>
      <w:r w:rsidRPr="00570DC8">
        <w:rPr>
          <w:rFonts w:ascii="Trebuchet MS" w:hAnsi="Trebuchet MS" w:cs="Arial"/>
          <w:color w:val="5F5F5F"/>
          <w:sz w:val="20"/>
          <w:szCs w:val="20"/>
        </w:rPr>
        <w:t xml:space="preserve">All’opposto, </w:t>
      </w:r>
      <w:r w:rsidR="009D439F" w:rsidRPr="00570DC8">
        <w:rPr>
          <w:rFonts w:ascii="Trebuchet MS" w:hAnsi="Trebuchet MS" w:cs="Arial"/>
          <w:color w:val="5F5F5F"/>
          <w:sz w:val="20"/>
          <w:szCs w:val="20"/>
        </w:rPr>
        <w:t>Potenza</w:t>
      </w:r>
      <w:r w:rsidRPr="00570DC8">
        <w:rPr>
          <w:rFonts w:ascii="Trebuchet MS" w:hAnsi="Trebuchet MS" w:cs="Arial"/>
          <w:color w:val="5F5F5F"/>
          <w:sz w:val="20"/>
          <w:szCs w:val="20"/>
        </w:rPr>
        <w:t xml:space="preserve"> ha</w:t>
      </w:r>
      <w:r w:rsidR="009D439F" w:rsidRPr="00570DC8">
        <w:rPr>
          <w:rFonts w:ascii="Trebuchet MS" w:hAnsi="Trebuchet MS" w:cs="Arial"/>
          <w:color w:val="5F5F5F"/>
          <w:sz w:val="20"/>
          <w:szCs w:val="20"/>
        </w:rPr>
        <w:t xml:space="preserve"> una</w:t>
      </w:r>
      <w:r w:rsidRPr="00570DC8">
        <w:rPr>
          <w:rFonts w:ascii="Trebuchet MS" w:hAnsi="Trebuchet MS" w:cs="Arial"/>
          <w:color w:val="5F5F5F"/>
          <w:sz w:val="20"/>
          <w:szCs w:val="20"/>
        </w:rPr>
        <w:t xml:space="preserve"> struttur</w:t>
      </w:r>
      <w:r w:rsidR="009D439F" w:rsidRPr="00570DC8">
        <w:rPr>
          <w:rFonts w:ascii="Trebuchet MS" w:hAnsi="Trebuchet MS" w:cs="Arial"/>
          <w:color w:val="5F5F5F"/>
          <w:sz w:val="20"/>
          <w:szCs w:val="20"/>
        </w:rPr>
        <w:t>a</w:t>
      </w:r>
      <w:r w:rsidRPr="00570DC8">
        <w:rPr>
          <w:rFonts w:ascii="Trebuchet MS" w:hAnsi="Trebuchet MS" w:cs="Arial"/>
          <w:color w:val="5F5F5F"/>
          <w:sz w:val="20"/>
          <w:szCs w:val="20"/>
        </w:rPr>
        <w:t xml:space="preserve"> demografic</w:t>
      </w:r>
      <w:r w:rsidR="009D439F" w:rsidRPr="00570DC8">
        <w:rPr>
          <w:rFonts w:ascii="Trebuchet MS" w:hAnsi="Trebuchet MS" w:cs="Arial"/>
          <w:color w:val="5F5F5F"/>
          <w:sz w:val="20"/>
          <w:szCs w:val="20"/>
        </w:rPr>
        <w:t>a</w:t>
      </w:r>
      <w:r w:rsidRPr="00570DC8">
        <w:rPr>
          <w:rFonts w:ascii="Trebuchet MS" w:hAnsi="Trebuchet MS" w:cs="Arial"/>
          <w:color w:val="5F5F5F"/>
          <w:sz w:val="20"/>
          <w:szCs w:val="20"/>
        </w:rPr>
        <w:t xml:space="preserve"> più invecchiat</w:t>
      </w:r>
      <w:r w:rsidR="009D439F" w:rsidRPr="00570DC8">
        <w:rPr>
          <w:rFonts w:ascii="Trebuchet MS" w:hAnsi="Trebuchet MS" w:cs="Arial"/>
          <w:color w:val="5F5F5F"/>
          <w:sz w:val="20"/>
          <w:szCs w:val="20"/>
        </w:rPr>
        <w:t>a</w:t>
      </w:r>
      <w:r w:rsidRPr="00570DC8">
        <w:rPr>
          <w:rFonts w:ascii="Trebuchet MS" w:hAnsi="Trebuchet MS" w:cs="Arial"/>
          <w:color w:val="5F5F5F"/>
          <w:sz w:val="20"/>
          <w:szCs w:val="20"/>
        </w:rPr>
        <w:t xml:space="preserve">, </w:t>
      </w:r>
      <w:r w:rsidR="00122827" w:rsidRPr="00570DC8">
        <w:rPr>
          <w:rFonts w:ascii="Trebuchet MS" w:hAnsi="Trebuchet MS" w:cs="Arial"/>
          <w:color w:val="5F5F5F"/>
          <w:sz w:val="20"/>
          <w:szCs w:val="20"/>
        </w:rPr>
        <w:t>in cui l’</w:t>
      </w:r>
      <w:r w:rsidRPr="00570DC8">
        <w:rPr>
          <w:rFonts w:ascii="Trebuchet MS" w:hAnsi="Trebuchet MS" w:cs="Arial"/>
          <w:color w:val="5F5F5F"/>
          <w:sz w:val="20"/>
          <w:szCs w:val="20"/>
        </w:rPr>
        <w:t>età media supera i 4</w:t>
      </w:r>
      <w:r w:rsidR="009D439F" w:rsidRPr="00570DC8">
        <w:rPr>
          <w:rFonts w:ascii="Trebuchet MS" w:hAnsi="Trebuchet MS" w:cs="Arial"/>
          <w:color w:val="5F5F5F"/>
          <w:sz w:val="20"/>
          <w:szCs w:val="20"/>
        </w:rPr>
        <w:t>6</w:t>
      </w:r>
      <w:r w:rsidRPr="00570DC8">
        <w:rPr>
          <w:rFonts w:ascii="Trebuchet MS" w:hAnsi="Trebuchet MS" w:cs="Arial"/>
          <w:color w:val="5F5F5F"/>
          <w:sz w:val="20"/>
          <w:szCs w:val="20"/>
        </w:rPr>
        <w:t xml:space="preserve"> anni e </w:t>
      </w:r>
      <w:r w:rsidR="00122827" w:rsidRPr="00570DC8">
        <w:rPr>
          <w:rFonts w:ascii="Trebuchet MS" w:hAnsi="Trebuchet MS" w:cs="Arial"/>
          <w:color w:val="5F5F5F"/>
          <w:sz w:val="20"/>
          <w:szCs w:val="20"/>
        </w:rPr>
        <w:t>ci sono più di 2</w:t>
      </w:r>
      <w:r w:rsidR="009D439F" w:rsidRPr="00570DC8">
        <w:rPr>
          <w:rFonts w:ascii="Trebuchet MS" w:hAnsi="Trebuchet MS" w:cs="Arial"/>
          <w:color w:val="5F5F5F"/>
          <w:sz w:val="20"/>
          <w:szCs w:val="20"/>
        </w:rPr>
        <w:t>1</w:t>
      </w:r>
      <w:r w:rsidR="00122827" w:rsidRPr="00570DC8">
        <w:rPr>
          <w:rFonts w:ascii="Trebuchet MS" w:hAnsi="Trebuchet MS" w:cs="Arial"/>
          <w:color w:val="5F5F5F"/>
          <w:sz w:val="20"/>
          <w:szCs w:val="20"/>
        </w:rPr>
        <w:t>0 persone con età superiore a 65 anni ogni 100 ragazzi tra 0 e 14 anni (indice di vecchiaia)</w:t>
      </w:r>
      <w:r w:rsidR="00A833D0" w:rsidRPr="00570DC8">
        <w:rPr>
          <w:rFonts w:ascii="Trebuchet MS" w:hAnsi="Trebuchet MS" w:cs="Arial"/>
          <w:color w:val="5F5F5F"/>
          <w:sz w:val="20"/>
          <w:szCs w:val="20"/>
        </w:rPr>
        <w:t>.</w:t>
      </w:r>
      <w:r w:rsidRPr="00570DC8">
        <w:rPr>
          <w:rFonts w:ascii="Trebuchet MS" w:hAnsi="Trebuchet MS" w:cs="Arial"/>
          <w:color w:val="5F5F5F"/>
          <w:sz w:val="20"/>
          <w:szCs w:val="20"/>
        </w:rPr>
        <w:t xml:space="preserve"> </w:t>
      </w:r>
      <w:r w:rsidR="00215579" w:rsidRPr="00570DC8">
        <w:rPr>
          <w:rFonts w:ascii="Trebuchet MS" w:hAnsi="Trebuchet MS" w:cs="Arial"/>
          <w:color w:val="5F5F5F"/>
          <w:sz w:val="20"/>
          <w:szCs w:val="20"/>
        </w:rPr>
        <w:t>Il</w:t>
      </w:r>
      <w:r w:rsidRPr="00570DC8">
        <w:rPr>
          <w:rFonts w:ascii="Trebuchet MS" w:hAnsi="Trebuchet MS" w:cs="Arial"/>
          <w:color w:val="5F5F5F"/>
          <w:sz w:val="20"/>
          <w:szCs w:val="20"/>
        </w:rPr>
        <w:t xml:space="preserve"> processo di invecchiamento </w:t>
      </w:r>
      <w:r w:rsidR="009D439F" w:rsidRPr="00570DC8">
        <w:rPr>
          <w:rFonts w:ascii="Trebuchet MS" w:hAnsi="Trebuchet MS" w:cs="Arial"/>
          <w:color w:val="5F5F5F"/>
          <w:sz w:val="20"/>
          <w:szCs w:val="20"/>
        </w:rPr>
        <w:t>si evince anche dal</w:t>
      </w:r>
      <w:r w:rsidR="00BF45E2" w:rsidRPr="00570DC8">
        <w:rPr>
          <w:rFonts w:ascii="Trebuchet MS" w:hAnsi="Trebuchet MS" w:cs="Arial"/>
          <w:color w:val="5F5F5F"/>
          <w:sz w:val="20"/>
          <w:szCs w:val="20"/>
        </w:rPr>
        <w:t>l’indice di dipe</w:t>
      </w:r>
      <w:r w:rsidR="00122827" w:rsidRPr="00570DC8">
        <w:rPr>
          <w:rFonts w:ascii="Trebuchet MS" w:hAnsi="Trebuchet MS" w:cs="Arial"/>
          <w:color w:val="5F5F5F"/>
          <w:sz w:val="20"/>
          <w:szCs w:val="20"/>
        </w:rPr>
        <w:t>n</w:t>
      </w:r>
      <w:r w:rsidR="00BF45E2" w:rsidRPr="00570DC8">
        <w:rPr>
          <w:rFonts w:ascii="Trebuchet MS" w:hAnsi="Trebuchet MS" w:cs="Arial"/>
          <w:color w:val="5F5F5F"/>
          <w:sz w:val="20"/>
          <w:szCs w:val="20"/>
        </w:rPr>
        <w:t>denza degli anziani</w:t>
      </w:r>
      <w:r w:rsidR="009D439F" w:rsidRPr="00570DC8">
        <w:rPr>
          <w:rFonts w:ascii="Trebuchet MS" w:hAnsi="Trebuchet MS" w:cs="Arial"/>
          <w:color w:val="5F5F5F"/>
          <w:sz w:val="20"/>
          <w:szCs w:val="20"/>
        </w:rPr>
        <w:t xml:space="preserve"> e di struttura della popolazione attiva</w:t>
      </w:r>
      <w:r w:rsidR="00905C3B">
        <w:rPr>
          <w:rFonts w:ascii="Trebuchet MS" w:hAnsi="Trebuchet MS" w:cs="Arial"/>
          <w:color w:val="5F5F5F"/>
          <w:sz w:val="20"/>
          <w:szCs w:val="20"/>
        </w:rPr>
        <w:t>,</w:t>
      </w:r>
      <w:r w:rsidR="009D439F" w:rsidRPr="00570DC8">
        <w:rPr>
          <w:rFonts w:ascii="Trebuchet MS" w:hAnsi="Trebuchet MS" w:cs="Arial"/>
          <w:color w:val="5F5F5F"/>
          <w:sz w:val="20"/>
          <w:szCs w:val="20"/>
        </w:rPr>
        <w:t xml:space="preserve"> che</w:t>
      </w:r>
      <w:r w:rsidR="00BF45E2" w:rsidRPr="00570DC8">
        <w:rPr>
          <w:rFonts w:ascii="Trebuchet MS" w:hAnsi="Trebuchet MS" w:cs="Arial"/>
          <w:color w:val="5F5F5F"/>
          <w:sz w:val="20"/>
          <w:szCs w:val="20"/>
        </w:rPr>
        <w:t xml:space="preserve"> risulta</w:t>
      </w:r>
      <w:r w:rsidR="009D439F" w:rsidRPr="00570DC8">
        <w:rPr>
          <w:rFonts w:ascii="Trebuchet MS" w:hAnsi="Trebuchet MS" w:cs="Arial"/>
          <w:color w:val="5F5F5F"/>
          <w:sz w:val="20"/>
          <w:szCs w:val="20"/>
        </w:rPr>
        <w:t>no</w:t>
      </w:r>
      <w:r w:rsidR="00BF45E2" w:rsidRPr="00570DC8">
        <w:rPr>
          <w:rFonts w:ascii="Trebuchet MS" w:hAnsi="Trebuchet MS" w:cs="Arial"/>
          <w:color w:val="5F5F5F"/>
          <w:sz w:val="20"/>
          <w:szCs w:val="20"/>
        </w:rPr>
        <w:t xml:space="preserve"> particolarmente elevat</w:t>
      </w:r>
      <w:r w:rsidR="009D439F" w:rsidRPr="00570DC8">
        <w:rPr>
          <w:rFonts w:ascii="Trebuchet MS" w:hAnsi="Trebuchet MS" w:cs="Arial"/>
          <w:color w:val="5F5F5F"/>
          <w:sz w:val="20"/>
          <w:szCs w:val="20"/>
        </w:rPr>
        <w:t>i</w:t>
      </w:r>
      <w:r w:rsidRPr="00570DC8">
        <w:rPr>
          <w:rFonts w:ascii="Trebuchet MS" w:hAnsi="Trebuchet MS" w:cs="Arial"/>
          <w:color w:val="5F5F5F"/>
          <w:sz w:val="20"/>
          <w:szCs w:val="20"/>
        </w:rPr>
        <w:t xml:space="preserve"> (</w:t>
      </w:r>
      <w:r w:rsidR="009D439F" w:rsidRPr="00570DC8">
        <w:rPr>
          <w:rFonts w:ascii="Trebuchet MS" w:hAnsi="Trebuchet MS" w:cs="Arial"/>
          <w:color w:val="5F5F5F"/>
          <w:sz w:val="20"/>
          <w:szCs w:val="20"/>
        </w:rPr>
        <w:t>37,9 e 138,5</w:t>
      </w:r>
      <w:r w:rsidRPr="00570DC8">
        <w:rPr>
          <w:rFonts w:ascii="Trebuchet MS" w:hAnsi="Trebuchet MS" w:cs="Arial"/>
          <w:color w:val="5F5F5F"/>
          <w:sz w:val="20"/>
          <w:szCs w:val="20"/>
        </w:rPr>
        <w:t>).</w:t>
      </w:r>
      <w:r>
        <w:rPr>
          <w:rFonts w:ascii="Trebuchet MS" w:hAnsi="Trebuchet MS" w:cs="Arial"/>
          <w:color w:val="5F5F5F"/>
          <w:sz w:val="20"/>
          <w:szCs w:val="20"/>
        </w:rPr>
        <w:t xml:space="preserve"> </w:t>
      </w:r>
      <w:r w:rsidR="006A4FF5">
        <w:rPr>
          <w:rFonts w:ascii="Trebuchet MS" w:hAnsi="Trebuchet MS" w:cs="Arial"/>
          <w:color w:val="5F5F5F"/>
          <w:sz w:val="20"/>
          <w:szCs w:val="20"/>
        </w:rPr>
        <w:t xml:space="preserve"> </w:t>
      </w:r>
    </w:p>
    <w:p w14:paraId="5C277E02" w14:textId="2C0F4088" w:rsidR="005C39B1" w:rsidRPr="001A589C" w:rsidRDefault="004902BB" w:rsidP="00E072ED">
      <w:pPr>
        <w:spacing w:before="240" w:after="60"/>
        <w:jc w:val="both"/>
        <w:rPr>
          <w:rFonts w:ascii="Arial Narrow" w:hAnsi="Arial Narrow"/>
          <w:color w:val="595959" w:themeColor="text1" w:themeTint="A6"/>
          <w:sz w:val="20"/>
          <w:szCs w:val="20"/>
        </w:rPr>
      </w:pPr>
      <w:r w:rsidRPr="001A589C">
        <w:rPr>
          <w:rFonts w:ascii="Arial Narrow" w:hAnsi="Arial Narrow"/>
          <w:b/>
          <w:color w:val="595959" w:themeColor="text1" w:themeTint="A6"/>
          <w:sz w:val="22"/>
          <w:szCs w:val="22"/>
        </w:rPr>
        <w:t xml:space="preserve">PROSPETTO </w:t>
      </w:r>
      <w:r w:rsidR="000E7CDD" w:rsidRPr="001A589C">
        <w:rPr>
          <w:rFonts w:ascii="Arial Narrow" w:hAnsi="Arial Narrow"/>
          <w:b/>
          <w:color w:val="595959" w:themeColor="text1" w:themeTint="A6"/>
          <w:sz w:val="22"/>
          <w:szCs w:val="22"/>
        </w:rPr>
        <w:t>5</w:t>
      </w:r>
      <w:r w:rsidRPr="001A589C">
        <w:rPr>
          <w:rFonts w:ascii="Arial Narrow" w:hAnsi="Arial Narrow"/>
          <w:color w:val="595959" w:themeColor="text1" w:themeTint="A6"/>
          <w:sz w:val="22"/>
          <w:szCs w:val="22"/>
        </w:rPr>
        <w:t>. INDICATORI DI STRUTTURA DELLA POPOLAZIONE PER PROVINCIA</w:t>
      </w:r>
      <w:r w:rsidRPr="001A589C">
        <w:rPr>
          <w:rFonts w:ascii="Arial Narrow" w:hAnsi="Arial Narrow"/>
          <w:color w:val="595959" w:themeColor="text1" w:themeTint="A6"/>
          <w:sz w:val="20"/>
          <w:szCs w:val="20"/>
        </w:rPr>
        <w:t>. Censimento 2020</w:t>
      </w:r>
    </w:p>
    <w:tbl>
      <w:tblPr>
        <w:tblW w:w="9640" w:type="dxa"/>
        <w:tblCellMar>
          <w:left w:w="70" w:type="dxa"/>
          <w:right w:w="70" w:type="dxa"/>
        </w:tblCellMar>
        <w:tblLook w:val="04A0" w:firstRow="1" w:lastRow="0" w:firstColumn="1" w:lastColumn="0" w:noHBand="0" w:noVBand="1"/>
      </w:tblPr>
      <w:tblGrid>
        <w:gridCol w:w="1860"/>
        <w:gridCol w:w="1180"/>
        <w:gridCol w:w="920"/>
        <w:gridCol w:w="1120"/>
        <w:gridCol w:w="1240"/>
        <w:gridCol w:w="1500"/>
        <w:gridCol w:w="1820"/>
      </w:tblGrid>
      <w:tr w:rsidR="005B1F48" w14:paraId="5AE352F3" w14:textId="77777777" w:rsidTr="005B1F48">
        <w:trPr>
          <w:trHeight w:val="540"/>
        </w:trPr>
        <w:tc>
          <w:tcPr>
            <w:tcW w:w="1860" w:type="dxa"/>
            <w:tcBorders>
              <w:top w:val="single" w:sz="4" w:space="0" w:color="262626"/>
              <w:left w:val="nil"/>
              <w:bottom w:val="single" w:sz="4" w:space="0" w:color="262626"/>
              <w:right w:val="nil"/>
            </w:tcBorders>
            <w:shd w:val="clear" w:color="auto" w:fill="auto"/>
            <w:noWrap/>
            <w:vAlign w:val="center"/>
            <w:hideMark/>
          </w:tcPr>
          <w:p w14:paraId="4EA7133B" w14:textId="77777777" w:rsidR="005B1F48" w:rsidRDefault="005B1F48">
            <w:pPr>
              <w:rPr>
                <w:rFonts w:ascii="Calibri" w:hAnsi="Calibri" w:cs="Calibri"/>
                <w:b/>
                <w:bCs/>
                <w:color w:val="000000"/>
                <w:sz w:val="22"/>
                <w:szCs w:val="22"/>
              </w:rPr>
            </w:pPr>
            <w:r>
              <w:rPr>
                <w:rFonts w:ascii="Calibri" w:hAnsi="Calibri" w:cs="Calibri"/>
                <w:b/>
                <w:bCs/>
                <w:color w:val="000000"/>
                <w:sz w:val="22"/>
                <w:szCs w:val="22"/>
              </w:rPr>
              <w:t>PROVINCE</w:t>
            </w:r>
          </w:p>
        </w:tc>
        <w:tc>
          <w:tcPr>
            <w:tcW w:w="1180" w:type="dxa"/>
            <w:tcBorders>
              <w:top w:val="single" w:sz="4" w:space="0" w:color="262626"/>
              <w:left w:val="nil"/>
              <w:bottom w:val="single" w:sz="4" w:space="0" w:color="262626"/>
              <w:right w:val="nil"/>
            </w:tcBorders>
            <w:shd w:val="clear" w:color="auto" w:fill="auto"/>
            <w:vAlign w:val="center"/>
            <w:hideMark/>
          </w:tcPr>
          <w:p w14:paraId="7A99A9E1"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Rapporto di mascolinità</w:t>
            </w:r>
          </w:p>
        </w:tc>
        <w:tc>
          <w:tcPr>
            <w:tcW w:w="920" w:type="dxa"/>
            <w:tcBorders>
              <w:top w:val="single" w:sz="4" w:space="0" w:color="262626"/>
              <w:left w:val="nil"/>
              <w:bottom w:val="single" w:sz="4" w:space="0" w:color="262626"/>
              <w:right w:val="nil"/>
            </w:tcBorders>
            <w:shd w:val="clear" w:color="auto" w:fill="auto"/>
            <w:vAlign w:val="center"/>
            <w:hideMark/>
          </w:tcPr>
          <w:p w14:paraId="741708B5"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Età media</w:t>
            </w:r>
          </w:p>
        </w:tc>
        <w:tc>
          <w:tcPr>
            <w:tcW w:w="1120" w:type="dxa"/>
            <w:tcBorders>
              <w:top w:val="single" w:sz="4" w:space="0" w:color="262626"/>
              <w:left w:val="nil"/>
              <w:bottom w:val="single" w:sz="4" w:space="0" w:color="262626"/>
              <w:right w:val="nil"/>
            </w:tcBorders>
            <w:shd w:val="clear" w:color="auto" w:fill="auto"/>
            <w:vAlign w:val="center"/>
            <w:hideMark/>
          </w:tcPr>
          <w:p w14:paraId="32B5FE37"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Indice di vecchiaia</w:t>
            </w:r>
          </w:p>
        </w:tc>
        <w:tc>
          <w:tcPr>
            <w:tcW w:w="1240" w:type="dxa"/>
            <w:tcBorders>
              <w:top w:val="single" w:sz="4" w:space="0" w:color="262626"/>
              <w:left w:val="nil"/>
              <w:bottom w:val="single" w:sz="4" w:space="0" w:color="262626"/>
              <w:right w:val="nil"/>
            </w:tcBorders>
            <w:shd w:val="clear" w:color="auto" w:fill="auto"/>
            <w:vAlign w:val="center"/>
            <w:hideMark/>
          </w:tcPr>
          <w:p w14:paraId="0AE66491"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Indice di dipendenza</w:t>
            </w:r>
          </w:p>
        </w:tc>
        <w:tc>
          <w:tcPr>
            <w:tcW w:w="1500" w:type="dxa"/>
            <w:tcBorders>
              <w:top w:val="single" w:sz="4" w:space="0" w:color="262626"/>
              <w:left w:val="nil"/>
              <w:bottom w:val="single" w:sz="4" w:space="0" w:color="262626"/>
              <w:right w:val="nil"/>
            </w:tcBorders>
            <w:shd w:val="clear" w:color="auto" w:fill="auto"/>
            <w:vAlign w:val="center"/>
            <w:hideMark/>
          </w:tcPr>
          <w:p w14:paraId="43ACC752"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Indice di dipendenza anziani</w:t>
            </w:r>
          </w:p>
        </w:tc>
        <w:tc>
          <w:tcPr>
            <w:tcW w:w="1820" w:type="dxa"/>
            <w:tcBorders>
              <w:top w:val="single" w:sz="4" w:space="0" w:color="262626"/>
              <w:left w:val="nil"/>
              <w:bottom w:val="single" w:sz="4" w:space="0" w:color="262626"/>
              <w:right w:val="nil"/>
            </w:tcBorders>
            <w:shd w:val="clear" w:color="auto" w:fill="auto"/>
            <w:vAlign w:val="center"/>
            <w:hideMark/>
          </w:tcPr>
          <w:p w14:paraId="56677AEA" w14:textId="77777777" w:rsidR="005B1F48" w:rsidRDefault="005B1F48">
            <w:pPr>
              <w:jc w:val="right"/>
              <w:rPr>
                <w:rFonts w:ascii="Arial Narrow" w:hAnsi="Arial Narrow" w:cs="Calibri"/>
                <w:b/>
                <w:bCs/>
                <w:color w:val="000000"/>
                <w:sz w:val="18"/>
                <w:szCs w:val="18"/>
              </w:rPr>
            </w:pPr>
            <w:r>
              <w:rPr>
                <w:rFonts w:ascii="Arial Narrow" w:hAnsi="Arial Narrow" w:cs="Calibri"/>
                <w:b/>
                <w:bCs/>
                <w:color w:val="000000"/>
                <w:sz w:val="18"/>
                <w:szCs w:val="18"/>
              </w:rPr>
              <w:t>Indice di struttura della popolazione attiva</w:t>
            </w:r>
          </w:p>
        </w:tc>
      </w:tr>
      <w:tr w:rsidR="005B1F48" w14:paraId="53C8EF41" w14:textId="77777777" w:rsidTr="005B1F48">
        <w:trPr>
          <w:trHeight w:val="300"/>
        </w:trPr>
        <w:tc>
          <w:tcPr>
            <w:tcW w:w="1860" w:type="dxa"/>
            <w:tcBorders>
              <w:top w:val="nil"/>
              <w:left w:val="nil"/>
              <w:bottom w:val="single" w:sz="4" w:space="0" w:color="262626"/>
              <w:right w:val="nil"/>
            </w:tcBorders>
            <w:shd w:val="clear" w:color="auto" w:fill="auto"/>
            <w:noWrap/>
            <w:vAlign w:val="center"/>
            <w:hideMark/>
          </w:tcPr>
          <w:p w14:paraId="5DF21C5A"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Matera</w:t>
            </w:r>
          </w:p>
        </w:tc>
        <w:tc>
          <w:tcPr>
            <w:tcW w:w="1180" w:type="dxa"/>
            <w:tcBorders>
              <w:top w:val="nil"/>
              <w:left w:val="nil"/>
              <w:bottom w:val="single" w:sz="4" w:space="0" w:color="262626"/>
              <w:right w:val="nil"/>
            </w:tcBorders>
            <w:shd w:val="clear" w:color="000000" w:fill="D9D9D9"/>
            <w:noWrap/>
            <w:vAlign w:val="center"/>
            <w:hideMark/>
          </w:tcPr>
          <w:p w14:paraId="2C368E00"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96,9</w:t>
            </w:r>
          </w:p>
        </w:tc>
        <w:tc>
          <w:tcPr>
            <w:tcW w:w="920" w:type="dxa"/>
            <w:tcBorders>
              <w:top w:val="nil"/>
              <w:left w:val="nil"/>
              <w:bottom w:val="single" w:sz="4" w:space="0" w:color="262626"/>
              <w:right w:val="nil"/>
            </w:tcBorders>
            <w:shd w:val="clear" w:color="auto" w:fill="auto"/>
            <w:noWrap/>
            <w:vAlign w:val="center"/>
            <w:hideMark/>
          </w:tcPr>
          <w:p w14:paraId="43F25FA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45,4</w:t>
            </w:r>
          </w:p>
        </w:tc>
        <w:tc>
          <w:tcPr>
            <w:tcW w:w="1120" w:type="dxa"/>
            <w:tcBorders>
              <w:top w:val="nil"/>
              <w:left w:val="nil"/>
              <w:bottom w:val="single" w:sz="4" w:space="0" w:color="262626"/>
              <w:right w:val="nil"/>
            </w:tcBorders>
            <w:shd w:val="clear" w:color="000000" w:fill="D9D9D9"/>
            <w:noWrap/>
            <w:vAlign w:val="center"/>
            <w:hideMark/>
          </w:tcPr>
          <w:p w14:paraId="444C78B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194,5</w:t>
            </w:r>
          </w:p>
        </w:tc>
        <w:tc>
          <w:tcPr>
            <w:tcW w:w="1240" w:type="dxa"/>
            <w:tcBorders>
              <w:top w:val="nil"/>
              <w:left w:val="nil"/>
              <w:bottom w:val="single" w:sz="4" w:space="0" w:color="262626"/>
              <w:right w:val="nil"/>
            </w:tcBorders>
            <w:shd w:val="clear" w:color="auto" w:fill="auto"/>
            <w:noWrap/>
            <w:vAlign w:val="center"/>
            <w:hideMark/>
          </w:tcPr>
          <w:p w14:paraId="44BFBF4D"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55,5</w:t>
            </w:r>
          </w:p>
        </w:tc>
        <w:tc>
          <w:tcPr>
            <w:tcW w:w="1500" w:type="dxa"/>
            <w:tcBorders>
              <w:top w:val="nil"/>
              <w:left w:val="nil"/>
              <w:bottom w:val="single" w:sz="4" w:space="0" w:color="262626"/>
              <w:right w:val="nil"/>
            </w:tcBorders>
            <w:shd w:val="clear" w:color="000000" w:fill="D9D9D9"/>
            <w:noWrap/>
            <w:vAlign w:val="center"/>
            <w:hideMark/>
          </w:tcPr>
          <w:p w14:paraId="0B1AB701"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36,6</w:t>
            </w:r>
          </w:p>
        </w:tc>
        <w:tc>
          <w:tcPr>
            <w:tcW w:w="1820" w:type="dxa"/>
            <w:tcBorders>
              <w:top w:val="nil"/>
              <w:left w:val="nil"/>
              <w:bottom w:val="single" w:sz="4" w:space="0" w:color="262626"/>
              <w:right w:val="nil"/>
            </w:tcBorders>
            <w:shd w:val="clear" w:color="auto" w:fill="auto"/>
            <w:noWrap/>
            <w:vAlign w:val="center"/>
            <w:hideMark/>
          </w:tcPr>
          <w:p w14:paraId="1AEB6686"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130,8</w:t>
            </w:r>
          </w:p>
        </w:tc>
      </w:tr>
      <w:tr w:rsidR="005B1F48" w14:paraId="4183E9DA" w14:textId="77777777" w:rsidTr="005B1F48">
        <w:trPr>
          <w:trHeight w:val="300"/>
        </w:trPr>
        <w:tc>
          <w:tcPr>
            <w:tcW w:w="1860" w:type="dxa"/>
            <w:tcBorders>
              <w:top w:val="nil"/>
              <w:left w:val="nil"/>
              <w:bottom w:val="single" w:sz="4" w:space="0" w:color="262626"/>
              <w:right w:val="nil"/>
            </w:tcBorders>
            <w:shd w:val="clear" w:color="auto" w:fill="auto"/>
            <w:noWrap/>
            <w:vAlign w:val="center"/>
            <w:hideMark/>
          </w:tcPr>
          <w:p w14:paraId="5E8F82E1" w14:textId="77777777" w:rsidR="005B1F48" w:rsidRDefault="005B1F48">
            <w:pPr>
              <w:rPr>
                <w:rFonts w:ascii="Arial Narrow" w:hAnsi="Arial Narrow" w:cs="Calibri"/>
                <w:color w:val="000000"/>
                <w:sz w:val="18"/>
                <w:szCs w:val="18"/>
              </w:rPr>
            </w:pPr>
            <w:r>
              <w:rPr>
                <w:rFonts w:ascii="Arial Narrow" w:hAnsi="Arial Narrow" w:cs="Calibri"/>
                <w:color w:val="000000"/>
                <w:sz w:val="18"/>
                <w:szCs w:val="18"/>
              </w:rPr>
              <w:t>Potenza</w:t>
            </w:r>
          </w:p>
        </w:tc>
        <w:tc>
          <w:tcPr>
            <w:tcW w:w="1180" w:type="dxa"/>
            <w:tcBorders>
              <w:top w:val="nil"/>
              <w:left w:val="nil"/>
              <w:bottom w:val="single" w:sz="4" w:space="0" w:color="262626"/>
              <w:right w:val="nil"/>
            </w:tcBorders>
            <w:shd w:val="clear" w:color="000000" w:fill="D9D9D9"/>
            <w:noWrap/>
            <w:vAlign w:val="center"/>
            <w:hideMark/>
          </w:tcPr>
          <w:p w14:paraId="429CCBA7"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96,6</w:t>
            </w:r>
          </w:p>
        </w:tc>
        <w:tc>
          <w:tcPr>
            <w:tcW w:w="920" w:type="dxa"/>
            <w:tcBorders>
              <w:top w:val="nil"/>
              <w:left w:val="nil"/>
              <w:bottom w:val="single" w:sz="4" w:space="0" w:color="262626"/>
              <w:right w:val="nil"/>
            </w:tcBorders>
            <w:shd w:val="clear" w:color="auto" w:fill="auto"/>
            <w:noWrap/>
            <w:vAlign w:val="center"/>
            <w:hideMark/>
          </w:tcPr>
          <w:p w14:paraId="143D9E50"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46,3</w:t>
            </w:r>
          </w:p>
        </w:tc>
        <w:tc>
          <w:tcPr>
            <w:tcW w:w="1120" w:type="dxa"/>
            <w:tcBorders>
              <w:top w:val="nil"/>
              <w:left w:val="nil"/>
              <w:bottom w:val="single" w:sz="4" w:space="0" w:color="262626"/>
              <w:right w:val="nil"/>
            </w:tcBorders>
            <w:shd w:val="clear" w:color="000000" w:fill="D9D9D9"/>
            <w:noWrap/>
            <w:vAlign w:val="center"/>
            <w:hideMark/>
          </w:tcPr>
          <w:p w14:paraId="1AEF11F8"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213,6</w:t>
            </w:r>
          </w:p>
        </w:tc>
        <w:tc>
          <w:tcPr>
            <w:tcW w:w="1240" w:type="dxa"/>
            <w:tcBorders>
              <w:top w:val="nil"/>
              <w:left w:val="nil"/>
              <w:bottom w:val="single" w:sz="4" w:space="0" w:color="262626"/>
              <w:right w:val="nil"/>
            </w:tcBorders>
            <w:shd w:val="clear" w:color="auto" w:fill="auto"/>
            <w:noWrap/>
            <w:vAlign w:val="center"/>
            <w:hideMark/>
          </w:tcPr>
          <w:p w14:paraId="609125B1"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55,7</w:t>
            </w:r>
          </w:p>
        </w:tc>
        <w:tc>
          <w:tcPr>
            <w:tcW w:w="1500" w:type="dxa"/>
            <w:tcBorders>
              <w:top w:val="nil"/>
              <w:left w:val="nil"/>
              <w:bottom w:val="single" w:sz="4" w:space="0" w:color="262626"/>
              <w:right w:val="nil"/>
            </w:tcBorders>
            <w:shd w:val="clear" w:color="000000" w:fill="D9D9D9"/>
            <w:noWrap/>
            <w:vAlign w:val="center"/>
            <w:hideMark/>
          </w:tcPr>
          <w:p w14:paraId="3B5FE5E5"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37,9</w:t>
            </w:r>
          </w:p>
        </w:tc>
        <w:tc>
          <w:tcPr>
            <w:tcW w:w="1820" w:type="dxa"/>
            <w:tcBorders>
              <w:top w:val="nil"/>
              <w:left w:val="nil"/>
              <w:bottom w:val="single" w:sz="4" w:space="0" w:color="262626"/>
              <w:right w:val="nil"/>
            </w:tcBorders>
            <w:shd w:val="clear" w:color="auto" w:fill="auto"/>
            <w:noWrap/>
            <w:vAlign w:val="center"/>
            <w:hideMark/>
          </w:tcPr>
          <w:p w14:paraId="69035FED" w14:textId="77777777" w:rsidR="005B1F48" w:rsidRDefault="005B1F48">
            <w:pPr>
              <w:jc w:val="right"/>
              <w:rPr>
                <w:rFonts w:ascii="Arial Narrow" w:hAnsi="Arial Narrow" w:cs="Calibri"/>
                <w:color w:val="000000"/>
                <w:sz w:val="18"/>
                <w:szCs w:val="18"/>
              </w:rPr>
            </w:pPr>
            <w:r>
              <w:rPr>
                <w:rFonts w:ascii="Arial Narrow" w:hAnsi="Arial Narrow" w:cs="Calibri"/>
                <w:color w:val="000000"/>
                <w:sz w:val="18"/>
                <w:szCs w:val="18"/>
              </w:rPr>
              <w:t>138,5</w:t>
            </w:r>
          </w:p>
        </w:tc>
      </w:tr>
      <w:tr w:rsidR="005B1F48" w14:paraId="7E648D4D" w14:textId="77777777" w:rsidTr="005B1F48">
        <w:trPr>
          <w:trHeight w:val="300"/>
        </w:trPr>
        <w:tc>
          <w:tcPr>
            <w:tcW w:w="1860" w:type="dxa"/>
            <w:tcBorders>
              <w:top w:val="single" w:sz="4" w:space="0" w:color="262626"/>
              <w:left w:val="nil"/>
              <w:bottom w:val="single" w:sz="4" w:space="0" w:color="262626"/>
              <w:right w:val="nil"/>
            </w:tcBorders>
            <w:shd w:val="clear" w:color="000000" w:fill="C9321F"/>
            <w:noWrap/>
            <w:vAlign w:val="center"/>
            <w:hideMark/>
          </w:tcPr>
          <w:p w14:paraId="7CAF3977" w14:textId="77777777" w:rsidR="005B1F48" w:rsidRDefault="005B1F48">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1180" w:type="dxa"/>
            <w:tcBorders>
              <w:top w:val="single" w:sz="4" w:space="0" w:color="262626"/>
              <w:left w:val="nil"/>
              <w:bottom w:val="single" w:sz="4" w:space="0" w:color="262626"/>
              <w:right w:val="nil"/>
            </w:tcBorders>
            <w:shd w:val="clear" w:color="000000" w:fill="C9321F"/>
            <w:noWrap/>
            <w:vAlign w:val="center"/>
            <w:hideMark/>
          </w:tcPr>
          <w:p w14:paraId="693C924C"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96,7</w:t>
            </w:r>
          </w:p>
        </w:tc>
        <w:tc>
          <w:tcPr>
            <w:tcW w:w="920" w:type="dxa"/>
            <w:tcBorders>
              <w:top w:val="single" w:sz="4" w:space="0" w:color="262626"/>
              <w:left w:val="nil"/>
              <w:bottom w:val="single" w:sz="4" w:space="0" w:color="262626"/>
              <w:right w:val="nil"/>
            </w:tcBorders>
            <w:shd w:val="clear" w:color="000000" w:fill="C9321F"/>
            <w:noWrap/>
            <w:vAlign w:val="center"/>
            <w:hideMark/>
          </w:tcPr>
          <w:p w14:paraId="53C5686A"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46,0</w:t>
            </w:r>
          </w:p>
        </w:tc>
        <w:tc>
          <w:tcPr>
            <w:tcW w:w="1120" w:type="dxa"/>
            <w:tcBorders>
              <w:top w:val="single" w:sz="4" w:space="0" w:color="262626"/>
              <w:left w:val="nil"/>
              <w:bottom w:val="single" w:sz="4" w:space="0" w:color="262626"/>
              <w:right w:val="nil"/>
            </w:tcBorders>
            <w:shd w:val="clear" w:color="000000" w:fill="C9321F"/>
            <w:noWrap/>
            <w:vAlign w:val="center"/>
            <w:hideMark/>
          </w:tcPr>
          <w:p w14:paraId="57439F8B"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206,6</w:t>
            </w:r>
          </w:p>
        </w:tc>
        <w:tc>
          <w:tcPr>
            <w:tcW w:w="1240" w:type="dxa"/>
            <w:tcBorders>
              <w:top w:val="single" w:sz="4" w:space="0" w:color="262626"/>
              <w:left w:val="nil"/>
              <w:bottom w:val="single" w:sz="4" w:space="0" w:color="262626"/>
              <w:right w:val="nil"/>
            </w:tcBorders>
            <w:shd w:val="clear" w:color="000000" w:fill="C9321F"/>
            <w:noWrap/>
            <w:vAlign w:val="center"/>
            <w:hideMark/>
          </w:tcPr>
          <w:p w14:paraId="584C8D0F"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55,6</w:t>
            </w:r>
          </w:p>
        </w:tc>
        <w:tc>
          <w:tcPr>
            <w:tcW w:w="1500" w:type="dxa"/>
            <w:tcBorders>
              <w:top w:val="single" w:sz="4" w:space="0" w:color="262626"/>
              <w:left w:val="nil"/>
              <w:bottom w:val="single" w:sz="4" w:space="0" w:color="262626"/>
              <w:right w:val="nil"/>
            </w:tcBorders>
            <w:shd w:val="clear" w:color="000000" w:fill="C9321F"/>
            <w:noWrap/>
            <w:vAlign w:val="center"/>
            <w:hideMark/>
          </w:tcPr>
          <w:p w14:paraId="0BCC5211"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37,5</w:t>
            </w:r>
          </w:p>
        </w:tc>
        <w:tc>
          <w:tcPr>
            <w:tcW w:w="1820" w:type="dxa"/>
            <w:tcBorders>
              <w:top w:val="single" w:sz="4" w:space="0" w:color="262626"/>
              <w:left w:val="nil"/>
              <w:bottom w:val="single" w:sz="4" w:space="0" w:color="262626"/>
              <w:right w:val="nil"/>
            </w:tcBorders>
            <w:shd w:val="clear" w:color="000000" w:fill="C9321F"/>
            <w:noWrap/>
            <w:vAlign w:val="center"/>
            <w:hideMark/>
          </w:tcPr>
          <w:p w14:paraId="387512F2"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135,7</w:t>
            </w:r>
          </w:p>
        </w:tc>
      </w:tr>
      <w:tr w:rsidR="005B1F48" w14:paraId="356400F9" w14:textId="77777777" w:rsidTr="005B1F48">
        <w:trPr>
          <w:trHeight w:val="300"/>
        </w:trPr>
        <w:tc>
          <w:tcPr>
            <w:tcW w:w="1860" w:type="dxa"/>
            <w:tcBorders>
              <w:top w:val="single" w:sz="4" w:space="0" w:color="262626"/>
              <w:left w:val="nil"/>
              <w:bottom w:val="single" w:sz="4" w:space="0" w:color="262626"/>
              <w:right w:val="nil"/>
            </w:tcBorders>
            <w:shd w:val="clear" w:color="000000" w:fill="C9321F"/>
            <w:noWrap/>
            <w:vAlign w:val="center"/>
            <w:hideMark/>
          </w:tcPr>
          <w:p w14:paraId="728DB66F" w14:textId="77777777" w:rsidR="005B1F48" w:rsidRDefault="005B1F48">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1180" w:type="dxa"/>
            <w:tcBorders>
              <w:top w:val="single" w:sz="4" w:space="0" w:color="262626"/>
              <w:left w:val="nil"/>
              <w:bottom w:val="single" w:sz="4" w:space="0" w:color="262626"/>
              <w:right w:val="nil"/>
            </w:tcBorders>
            <w:shd w:val="clear" w:color="000000" w:fill="C9321F"/>
            <w:noWrap/>
            <w:vAlign w:val="center"/>
            <w:hideMark/>
          </w:tcPr>
          <w:p w14:paraId="419CBD14"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95,0</w:t>
            </w:r>
          </w:p>
        </w:tc>
        <w:tc>
          <w:tcPr>
            <w:tcW w:w="920" w:type="dxa"/>
            <w:tcBorders>
              <w:top w:val="single" w:sz="4" w:space="0" w:color="262626"/>
              <w:left w:val="nil"/>
              <w:bottom w:val="single" w:sz="4" w:space="0" w:color="262626"/>
              <w:right w:val="nil"/>
            </w:tcBorders>
            <w:shd w:val="clear" w:color="000000" w:fill="C9321F"/>
            <w:noWrap/>
            <w:vAlign w:val="center"/>
            <w:hideMark/>
          </w:tcPr>
          <w:p w14:paraId="350E92BD"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45,4</w:t>
            </w:r>
          </w:p>
        </w:tc>
        <w:tc>
          <w:tcPr>
            <w:tcW w:w="1120" w:type="dxa"/>
            <w:tcBorders>
              <w:top w:val="single" w:sz="4" w:space="0" w:color="262626"/>
              <w:left w:val="nil"/>
              <w:bottom w:val="single" w:sz="4" w:space="0" w:color="262626"/>
              <w:right w:val="nil"/>
            </w:tcBorders>
            <w:shd w:val="clear" w:color="000000" w:fill="C9321F"/>
            <w:noWrap/>
            <w:vAlign w:val="center"/>
            <w:hideMark/>
          </w:tcPr>
          <w:p w14:paraId="0B203AC6"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182,6</w:t>
            </w:r>
          </w:p>
        </w:tc>
        <w:tc>
          <w:tcPr>
            <w:tcW w:w="1240" w:type="dxa"/>
            <w:tcBorders>
              <w:top w:val="single" w:sz="4" w:space="0" w:color="262626"/>
              <w:left w:val="nil"/>
              <w:bottom w:val="single" w:sz="4" w:space="0" w:color="262626"/>
              <w:right w:val="nil"/>
            </w:tcBorders>
            <w:shd w:val="clear" w:color="000000" w:fill="C9321F"/>
            <w:noWrap/>
            <w:vAlign w:val="center"/>
            <w:hideMark/>
          </w:tcPr>
          <w:p w14:paraId="6E7B76CC"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57,3</w:t>
            </w:r>
          </w:p>
        </w:tc>
        <w:tc>
          <w:tcPr>
            <w:tcW w:w="1500" w:type="dxa"/>
            <w:tcBorders>
              <w:top w:val="single" w:sz="4" w:space="0" w:color="262626"/>
              <w:left w:val="nil"/>
              <w:bottom w:val="single" w:sz="4" w:space="0" w:color="262626"/>
              <w:right w:val="nil"/>
            </w:tcBorders>
            <w:shd w:val="clear" w:color="000000" w:fill="C9321F"/>
            <w:noWrap/>
            <w:vAlign w:val="center"/>
            <w:hideMark/>
          </w:tcPr>
          <w:p w14:paraId="11896B25"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37,0</w:t>
            </w:r>
          </w:p>
        </w:tc>
        <w:tc>
          <w:tcPr>
            <w:tcW w:w="1820" w:type="dxa"/>
            <w:tcBorders>
              <w:top w:val="single" w:sz="4" w:space="0" w:color="262626"/>
              <w:left w:val="nil"/>
              <w:bottom w:val="single" w:sz="4" w:space="0" w:color="262626"/>
              <w:right w:val="nil"/>
            </w:tcBorders>
            <w:shd w:val="clear" w:color="000000" w:fill="C9321F"/>
            <w:noWrap/>
            <w:vAlign w:val="center"/>
            <w:hideMark/>
          </w:tcPr>
          <w:p w14:paraId="5FE027CE" w14:textId="77777777" w:rsidR="005B1F48" w:rsidRDefault="005B1F48">
            <w:pPr>
              <w:jc w:val="right"/>
              <w:rPr>
                <w:rFonts w:ascii="Arial Narrow" w:hAnsi="Arial Narrow" w:cs="Calibri"/>
                <w:b/>
                <w:bCs/>
                <w:color w:val="FFFFFF"/>
                <w:sz w:val="18"/>
                <w:szCs w:val="18"/>
              </w:rPr>
            </w:pPr>
            <w:r>
              <w:rPr>
                <w:rFonts w:ascii="Arial Narrow" w:hAnsi="Arial Narrow" w:cs="Calibri"/>
                <w:b/>
                <w:bCs/>
                <w:color w:val="FFFFFF"/>
                <w:sz w:val="18"/>
                <w:szCs w:val="18"/>
              </w:rPr>
              <w:t>141,9</w:t>
            </w:r>
          </w:p>
        </w:tc>
      </w:tr>
    </w:tbl>
    <w:p w14:paraId="20E1D88D" w14:textId="77777777" w:rsidR="00215579" w:rsidRPr="00047761" w:rsidRDefault="00215579" w:rsidP="00215579">
      <w:pPr>
        <w:spacing w:after="120"/>
        <w:jc w:val="both"/>
        <w:rPr>
          <w:rFonts w:ascii="Trebuchet MS" w:hAnsi="Trebuchet MS" w:cs="Arial"/>
          <w:color w:val="5F5F5F"/>
          <w:sz w:val="14"/>
          <w:szCs w:val="14"/>
        </w:rPr>
      </w:pPr>
    </w:p>
    <w:bookmarkEnd w:id="0"/>
    <w:p w14:paraId="1D69AC37" w14:textId="3DF741CA" w:rsidR="00946F5C" w:rsidRPr="001A589C" w:rsidRDefault="00946F5C" w:rsidP="00F826D9">
      <w:pPr>
        <w:keepNext/>
        <w:spacing w:before="240" w:after="60"/>
        <w:jc w:val="both"/>
        <w:rPr>
          <w:rFonts w:ascii="Arial Narrow" w:hAnsi="Arial Narrow"/>
          <w:color w:val="595959" w:themeColor="text1" w:themeTint="A6"/>
          <w:sz w:val="22"/>
          <w:szCs w:val="22"/>
        </w:rPr>
      </w:pPr>
      <w:r w:rsidRPr="001A589C">
        <w:rPr>
          <w:rFonts w:ascii="Arial Narrow" w:hAnsi="Arial Narrow"/>
          <w:b/>
          <w:bCs/>
          <w:color w:val="595959" w:themeColor="text1" w:themeTint="A6"/>
          <w:sz w:val="22"/>
          <w:szCs w:val="22"/>
        </w:rPr>
        <w:t xml:space="preserve">PROSPETTO </w:t>
      </w:r>
      <w:r w:rsidR="000E7CDD" w:rsidRPr="001A589C">
        <w:rPr>
          <w:rFonts w:ascii="Arial Narrow" w:hAnsi="Arial Narrow"/>
          <w:b/>
          <w:bCs/>
          <w:color w:val="595959" w:themeColor="text1" w:themeTint="A6"/>
          <w:sz w:val="22"/>
          <w:szCs w:val="22"/>
        </w:rPr>
        <w:t>6</w:t>
      </w:r>
      <w:r w:rsidRPr="001A589C">
        <w:rPr>
          <w:rFonts w:ascii="Arial Narrow" w:hAnsi="Arial Narrow"/>
          <w:b/>
          <w:bCs/>
          <w:color w:val="595959" w:themeColor="text1" w:themeTint="A6"/>
          <w:sz w:val="22"/>
          <w:szCs w:val="22"/>
        </w:rPr>
        <w:t xml:space="preserve">. </w:t>
      </w:r>
      <w:r w:rsidRPr="001A589C">
        <w:rPr>
          <w:rFonts w:ascii="Arial Narrow" w:hAnsi="Arial Narrow"/>
          <w:color w:val="595959" w:themeColor="text1" w:themeTint="A6"/>
          <w:sz w:val="22"/>
          <w:szCs w:val="22"/>
        </w:rPr>
        <w:t>COMUNI CON PARTICOLARI CARATTERISTICHE AL CENSIMENTO 20</w:t>
      </w:r>
      <w:r w:rsidR="004902BB" w:rsidRPr="001A589C">
        <w:rPr>
          <w:rFonts w:ascii="Arial Narrow" w:hAnsi="Arial Narrow"/>
          <w:color w:val="595959" w:themeColor="text1" w:themeTint="A6"/>
          <w:sz w:val="22"/>
          <w:szCs w:val="22"/>
        </w:rPr>
        <w:t>20</w:t>
      </w:r>
      <w:r w:rsidRPr="001A589C">
        <w:rPr>
          <w:rFonts w:ascii="Arial Narrow" w:hAnsi="Arial Narrow"/>
          <w:color w:val="595959" w:themeColor="text1" w:themeTint="A6"/>
          <w:sz w:val="22"/>
          <w:szCs w:val="22"/>
        </w:rPr>
        <w:t xml:space="preserve"> </w:t>
      </w:r>
    </w:p>
    <w:tbl>
      <w:tblPr>
        <w:tblW w:w="9600" w:type="dxa"/>
        <w:tblCellMar>
          <w:left w:w="0" w:type="dxa"/>
          <w:right w:w="0" w:type="dxa"/>
        </w:tblCellMar>
        <w:tblLook w:val="04A0" w:firstRow="1" w:lastRow="0" w:firstColumn="1" w:lastColumn="0" w:noHBand="0" w:noVBand="1"/>
      </w:tblPr>
      <w:tblGrid>
        <w:gridCol w:w="2500"/>
        <w:gridCol w:w="1600"/>
        <w:gridCol w:w="700"/>
        <w:gridCol w:w="2500"/>
        <w:gridCol w:w="1600"/>
        <w:gridCol w:w="700"/>
      </w:tblGrid>
      <w:tr w:rsidR="00DA6179" w:rsidRPr="00DA6179" w14:paraId="58259EC4" w14:textId="77777777" w:rsidTr="00D23F39">
        <w:trPr>
          <w:trHeight w:val="300"/>
        </w:trPr>
        <w:tc>
          <w:tcPr>
            <w:tcW w:w="2500" w:type="dxa"/>
            <w:vMerge w:val="restar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E86BFC9" w14:textId="77777777" w:rsidR="00D23F39" w:rsidRPr="00DA6179" w:rsidRDefault="00D23F39">
            <w:pPr>
              <w:jc w:val="center"/>
              <w:rPr>
                <w:rFonts w:ascii="Arial Narrow" w:hAnsi="Arial Narrow" w:cs="Calibri"/>
                <w:b/>
                <w:bCs/>
                <w:sz w:val="18"/>
                <w:szCs w:val="18"/>
              </w:rPr>
            </w:pPr>
            <w:r w:rsidRPr="00DA6179">
              <w:rPr>
                <w:rFonts w:ascii="Arial Narrow" w:hAnsi="Arial Narrow" w:cs="Calibri"/>
                <w:b/>
                <w:bCs/>
                <w:sz w:val="18"/>
                <w:szCs w:val="18"/>
              </w:rPr>
              <w:t>CARATTERISTICA DEL COMUNE</w:t>
            </w:r>
          </w:p>
        </w:tc>
        <w:tc>
          <w:tcPr>
            <w:tcW w:w="2300" w:type="dxa"/>
            <w:gridSpan w:val="2"/>
            <w:tcBorders>
              <w:top w:val="single" w:sz="4" w:space="0" w:color="auto"/>
              <w:left w:val="nil"/>
              <w:bottom w:val="single" w:sz="4" w:space="0" w:color="auto"/>
              <w:right w:val="nil"/>
            </w:tcBorders>
            <w:shd w:val="clear" w:color="000000" w:fill="D9D9D9"/>
            <w:noWrap/>
            <w:tcMar>
              <w:top w:w="15" w:type="dxa"/>
              <w:left w:w="15" w:type="dxa"/>
              <w:bottom w:w="0" w:type="dxa"/>
              <w:right w:w="15" w:type="dxa"/>
            </w:tcMar>
            <w:vAlign w:val="center"/>
            <w:hideMark/>
          </w:tcPr>
          <w:p w14:paraId="327852F1" w14:textId="77777777" w:rsidR="00D23F39" w:rsidRPr="00DA6179" w:rsidRDefault="00D23F39">
            <w:pPr>
              <w:jc w:val="center"/>
              <w:rPr>
                <w:rFonts w:ascii="Arial Narrow" w:hAnsi="Arial Narrow" w:cs="Calibri"/>
                <w:b/>
                <w:bCs/>
                <w:sz w:val="18"/>
                <w:szCs w:val="18"/>
              </w:rPr>
            </w:pPr>
            <w:r w:rsidRPr="00DA6179">
              <w:rPr>
                <w:rFonts w:ascii="Arial Narrow" w:hAnsi="Arial Narrow" w:cs="Calibri"/>
                <w:b/>
                <w:bCs/>
                <w:sz w:val="18"/>
                <w:szCs w:val="18"/>
              </w:rPr>
              <w:t>Basilicata</w:t>
            </w:r>
          </w:p>
        </w:tc>
        <w:tc>
          <w:tcPr>
            <w:tcW w:w="2500" w:type="dxa"/>
            <w:vMerge w:val="restar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D12C7FC" w14:textId="77777777" w:rsidR="00D23F39" w:rsidRPr="00DA6179" w:rsidRDefault="00D23F39">
            <w:pPr>
              <w:jc w:val="center"/>
              <w:rPr>
                <w:rFonts w:ascii="Arial Narrow" w:hAnsi="Arial Narrow" w:cs="Calibri"/>
                <w:b/>
                <w:bCs/>
                <w:sz w:val="18"/>
                <w:szCs w:val="18"/>
              </w:rPr>
            </w:pPr>
            <w:r w:rsidRPr="00DA6179">
              <w:rPr>
                <w:rFonts w:ascii="Arial Narrow" w:hAnsi="Arial Narrow" w:cs="Calibri"/>
                <w:b/>
                <w:bCs/>
                <w:sz w:val="18"/>
                <w:szCs w:val="18"/>
              </w:rPr>
              <w:t>CARATTERISTICA DEL COMUNE</w:t>
            </w:r>
          </w:p>
        </w:tc>
        <w:tc>
          <w:tcPr>
            <w:tcW w:w="2300" w:type="dxa"/>
            <w:gridSpan w:val="2"/>
            <w:tcBorders>
              <w:top w:val="single" w:sz="4" w:space="0" w:color="auto"/>
              <w:left w:val="nil"/>
              <w:bottom w:val="single" w:sz="4" w:space="0" w:color="auto"/>
              <w:right w:val="nil"/>
            </w:tcBorders>
            <w:shd w:val="clear" w:color="000000" w:fill="D9D9D9"/>
            <w:noWrap/>
            <w:tcMar>
              <w:top w:w="15" w:type="dxa"/>
              <w:left w:w="15" w:type="dxa"/>
              <w:bottom w:w="0" w:type="dxa"/>
              <w:right w:w="15" w:type="dxa"/>
            </w:tcMar>
            <w:vAlign w:val="center"/>
            <w:hideMark/>
          </w:tcPr>
          <w:p w14:paraId="648EDF9E" w14:textId="77777777" w:rsidR="00D23F39" w:rsidRPr="00DA6179" w:rsidRDefault="00D23F39">
            <w:pPr>
              <w:jc w:val="center"/>
              <w:rPr>
                <w:rFonts w:ascii="Arial Narrow" w:hAnsi="Arial Narrow" w:cs="Calibri"/>
                <w:b/>
                <w:bCs/>
                <w:sz w:val="18"/>
                <w:szCs w:val="18"/>
              </w:rPr>
            </w:pPr>
            <w:r w:rsidRPr="00DA6179">
              <w:rPr>
                <w:rFonts w:ascii="Arial Narrow" w:hAnsi="Arial Narrow" w:cs="Calibri"/>
                <w:b/>
                <w:bCs/>
                <w:sz w:val="18"/>
                <w:szCs w:val="18"/>
              </w:rPr>
              <w:t>Basilicata</w:t>
            </w:r>
          </w:p>
        </w:tc>
      </w:tr>
      <w:tr w:rsidR="00DA6179" w:rsidRPr="00DA6179" w14:paraId="64F46C6A" w14:textId="77777777" w:rsidTr="00D23F39">
        <w:trPr>
          <w:trHeight w:val="300"/>
        </w:trPr>
        <w:tc>
          <w:tcPr>
            <w:tcW w:w="0" w:type="auto"/>
            <w:vMerge/>
            <w:tcBorders>
              <w:top w:val="single" w:sz="4" w:space="0" w:color="auto"/>
              <w:left w:val="nil"/>
              <w:bottom w:val="single" w:sz="4" w:space="0" w:color="auto"/>
              <w:right w:val="nil"/>
            </w:tcBorders>
            <w:vAlign w:val="center"/>
            <w:hideMark/>
          </w:tcPr>
          <w:p w14:paraId="3648B466" w14:textId="77777777" w:rsidR="00D23F39" w:rsidRPr="00DA6179" w:rsidRDefault="00D23F39">
            <w:pPr>
              <w:rPr>
                <w:rFonts w:ascii="Arial Narrow" w:hAnsi="Arial Narrow" w:cs="Calibri"/>
                <w:b/>
                <w:bCs/>
                <w:sz w:val="18"/>
                <w:szCs w:val="18"/>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E3D75D0" w14:textId="77777777" w:rsidR="00D23F39" w:rsidRPr="00DA6179" w:rsidRDefault="00D23F39">
            <w:pPr>
              <w:jc w:val="both"/>
              <w:rPr>
                <w:rFonts w:ascii="Arial Narrow" w:hAnsi="Arial Narrow" w:cs="Calibri"/>
                <w:b/>
                <w:bCs/>
                <w:sz w:val="18"/>
                <w:szCs w:val="18"/>
              </w:rPr>
            </w:pPr>
            <w:r w:rsidRPr="00DA6179">
              <w:rPr>
                <w:rFonts w:ascii="Arial Narrow" w:hAnsi="Arial Narrow" w:cs="Calibri"/>
                <w:b/>
                <w:bCs/>
                <w:sz w:val="18"/>
                <w:szCs w:val="18"/>
              </w:rPr>
              <w:t>Comune</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6DD6E5A" w14:textId="77777777" w:rsidR="00D23F39" w:rsidRPr="00DA6179" w:rsidRDefault="00D23F39">
            <w:pPr>
              <w:jc w:val="right"/>
              <w:rPr>
                <w:rFonts w:ascii="Arial Narrow" w:hAnsi="Arial Narrow" w:cs="Calibri"/>
                <w:b/>
                <w:bCs/>
                <w:sz w:val="18"/>
                <w:szCs w:val="18"/>
              </w:rPr>
            </w:pPr>
            <w:r w:rsidRPr="00DA6179">
              <w:rPr>
                <w:rFonts w:ascii="Arial Narrow" w:hAnsi="Arial Narrow" w:cs="Calibri"/>
                <w:b/>
                <w:bCs/>
                <w:sz w:val="18"/>
                <w:szCs w:val="18"/>
              </w:rPr>
              <w:t>Valori</w:t>
            </w:r>
          </w:p>
        </w:tc>
        <w:tc>
          <w:tcPr>
            <w:tcW w:w="0" w:type="auto"/>
            <w:vMerge/>
            <w:tcBorders>
              <w:top w:val="single" w:sz="4" w:space="0" w:color="auto"/>
              <w:left w:val="nil"/>
              <w:bottom w:val="single" w:sz="4" w:space="0" w:color="auto"/>
              <w:right w:val="nil"/>
            </w:tcBorders>
            <w:vAlign w:val="center"/>
            <w:hideMark/>
          </w:tcPr>
          <w:p w14:paraId="67DF389A" w14:textId="77777777" w:rsidR="00D23F39" w:rsidRPr="00DA6179" w:rsidRDefault="00D23F39">
            <w:pPr>
              <w:rPr>
                <w:rFonts w:ascii="Arial Narrow" w:hAnsi="Arial Narrow" w:cs="Calibri"/>
                <w:b/>
                <w:bCs/>
                <w:sz w:val="18"/>
                <w:szCs w:val="18"/>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98B57D7" w14:textId="77777777" w:rsidR="00D23F39" w:rsidRPr="00DA6179" w:rsidRDefault="00D23F39">
            <w:pPr>
              <w:jc w:val="both"/>
              <w:rPr>
                <w:rFonts w:ascii="Arial Narrow" w:hAnsi="Arial Narrow" w:cs="Calibri"/>
                <w:b/>
                <w:bCs/>
                <w:sz w:val="18"/>
                <w:szCs w:val="18"/>
              </w:rPr>
            </w:pPr>
            <w:r w:rsidRPr="00DA6179">
              <w:rPr>
                <w:rFonts w:ascii="Arial Narrow" w:hAnsi="Arial Narrow" w:cs="Calibri"/>
                <w:b/>
                <w:bCs/>
                <w:sz w:val="18"/>
                <w:szCs w:val="18"/>
              </w:rPr>
              <w:t>Comune</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1B5C285" w14:textId="77777777" w:rsidR="00D23F39" w:rsidRPr="00DA6179" w:rsidRDefault="00D23F39">
            <w:pPr>
              <w:jc w:val="right"/>
              <w:rPr>
                <w:rFonts w:ascii="Arial Narrow" w:hAnsi="Arial Narrow" w:cs="Calibri"/>
                <w:b/>
                <w:bCs/>
                <w:sz w:val="18"/>
                <w:szCs w:val="18"/>
              </w:rPr>
            </w:pPr>
            <w:r w:rsidRPr="00DA6179">
              <w:rPr>
                <w:rFonts w:ascii="Arial Narrow" w:hAnsi="Arial Narrow" w:cs="Calibri"/>
                <w:b/>
                <w:bCs/>
                <w:sz w:val="18"/>
                <w:szCs w:val="18"/>
              </w:rPr>
              <w:t>Valori</w:t>
            </w:r>
          </w:p>
        </w:tc>
      </w:tr>
      <w:tr w:rsidR="00DA6179" w:rsidRPr="00DA6179" w14:paraId="5801AB78" w14:textId="77777777" w:rsidTr="00D23F39">
        <w:trPr>
          <w:trHeight w:val="540"/>
        </w:trPr>
        <w:tc>
          <w:tcPr>
            <w:tcW w:w="25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0FF00157"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Comune più piccolo (residenti)</w:t>
            </w:r>
          </w:p>
        </w:tc>
        <w:tc>
          <w:tcPr>
            <w:tcW w:w="16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0570307D"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San Paolo Albanese (PZ)</w:t>
            </w:r>
          </w:p>
        </w:tc>
        <w:tc>
          <w:tcPr>
            <w:tcW w:w="7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3C00E2A2" w14:textId="26FD72DB"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 xml:space="preserve">226 </w:t>
            </w:r>
          </w:p>
        </w:tc>
        <w:tc>
          <w:tcPr>
            <w:tcW w:w="25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090335AD"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Comune più grande (residenti)</w:t>
            </w:r>
          </w:p>
        </w:tc>
        <w:tc>
          <w:tcPr>
            <w:tcW w:w="16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5B2ED2A3"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Potenza (PZ)</w:t>
            </w:r>
          </w:p>
        </w:tc>
        <w:tc>
          <w:tcPr>
            <w:tcW w:w="7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2E53982C"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 xml:space="preserve">   65.420 </w:t>
            </w:r>
          </w:p>
        </w:tc>
      </w:tr>
      <w:tr w:rsidR="00DA6179" w:rsidRPr="00DA6179" w14:paraId="46149C99" w14:textId="77777777" w:rsidTr="00D23F39">
        <w:trPr>
          <w:trHeight w:val="480"/>
        </w:trPr>
        <w:tc>
          <w:tcPr>
            <w:tcW w:w="25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531C127A"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Comune più giovane (età media)</w:t>
            </w:r>
          </w:p>
        </w:tc>
        <w:tc>
          <w:tcPr>
            <w:tcW w:w="16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76FDC422"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Marsicovetere (PZ)</w:t>
            </w:r>
          </w:p>
        </w:tc>
        <w:tc>
          <w:tcPr>
            <w:tcW w:w="7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005A4930"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41,8</w:t>
            </w:r>
          </w:p>
        </w:tc>
        <w:tc>
          <w:tcPr>
            <w:tcW w:w="25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22B65B3B"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Comune più vecchio (età media)</w:t>
            </w:r>
          </w:p>
        </w:tc>
        <w:tc>
          <w:tcPr>
            <w:tcW w:w="16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48D6A107"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Carbone (PZ)</w:t>
            </w:r>
          </w:p>
        </w:tc>
        <w:tc>
          <w:tcPr>
            <w:tcW w:w="7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6CEC736A"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57,9</w:t>
            </w:r>
          </w:p>
        </w:tc>
      </w:tr>
      <w:tr w:rsidR="00DA6179" w:rsidRPr="00DA6179" w14:paraId="2D01DA15" w14:textId="77777777" w:rsidTr="00D23F39">
        <w:trPr>
          <w:trHeight w:val="540"/>
        </w:trPr>
        <w:tc>
          <w:tcPr>
            <w:tcW w:w="25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1FC8736C"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Comune con il rapporto di mascolinità più basso</w:t>
            </w:r>
          </w:p>
        </w:tc>
        <w:tc>
          <w:tcPr>
            <w:tcW w:w="16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6800C7E7"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Cirigliano (MT)</w:t>
            </w:r>
          </w:p>
        </w:tc>
        <w:tc>
          <w:tcPr>
            <w:tcW w:w="7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0101E8AD"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77,8</w:t>
            </w:r>
          </w:p>
        </w:tc>
        <w:tc>
          <w:tcPr>
            <w:tcW w:w="25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4147DCB6"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Comune con il rapporto di mascolinità più alto</w:t>
            </w:r>
          </w:p>
        </w:tc>
        <w:tc>
          <w:tcPr>
            <w:tcW w:w="16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7CEAFDDE"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Gallicchio (PZ)</w:t>
            </w:r>
          </w:p>
        </w:tc>
        <w:tc>
          <w:tcPr>
            <w:tcW w:w="7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5E1A2B74"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112,4</w:t>
            </w:r>
          </w:p>
        </w:tc>
      </w:tr>
      <w:tr w:rsidR="00DA6179" w:rsidRPr="00DA6179" w14:paraId="496E7DEB" w14:textId="77777777" w:rsidTr="00D23F39">
        <w:trPr>
          <w:trHeight w:val="810"/>
        </w:trPr>
        <w:tc>
          <w:tcPr>
            <w:tcW w:w="25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43AA2AEA" w14:textId="77777777" w:rsidR="00BA7FCD" w:rsidRPr="00DA6179" w:rsidRDefault="00D23F39">
            <w:pPr>
              <w:jc w:val="both"/>
              <w:rPr>
                <w:rFonts w:ascii="Arial Narrow" w:hAnsi="Arial Narrow" w:cs="Calibri"/>
                <w:sz w:val="18"/>
                <w:szCs w:val="18"/>
              </w:rPr>
            </w:pPr>
            <w:r w:rsidRPr="00DA6179">
              <w:rPr>
                <w:rFonts w:ascii="Arial Narrow" w:hAnsi="Arial Narrow" w:cs="Calibri"/>
                <w:sz w:val="18"/>
                <w:szCs w:val="18"/>
              </w:rPr>
              <w:t xml:space="preserve">Comune con maggior incremento della popolazione rispetto al 2019 </w:t>
            </w:r>
          </w:p>
          <w:p w14:paraId="3B182268" w14:textId="0883CF08"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(per 100 residenti)</w:t>
            </w:r>
          </w:p>
        </w:tc>
        <w:tc>
          <w:tcPr>
            <w:tcW w:w="16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27ECD443"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Scanzano Jonico (MT)</w:t>
            </w:r>
          </w:p>
        </w:tc>
        <w:tc>
          <w:tcPr>
            <w:tcW w:w="7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4397D812"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2,2</w:t>
            </w:r>
          </w:p>
        </w:tc>
        <w:tc>
          <w:tcPr>
            <w:tcW w:w="25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3FD1BAA8" w14:textId="77777777" w:rsidR="00BA7FCD" w:rsidRPr="00DA6179" w:rsidRDefault="00D23F39">
            <w:pPr>
              <w:jc w:val="both"/>
              <w:rPr>
                <w:rFonts w:ascii="Arial Narrow" w:hAnsi="Arial Narrow" w:cs="Calibri"/>
                <w:sz w:val="18"/>
                <w:szCs w:val="18"/>
              </w:rPr>
            </w:pPr>
            <w:r w:rsidRPr="00DA6179">
              <w:rPr>
                <w:rFonts w:ascii="Arial Narrow" w:hAnsi="Arial Narrow" w:cs="Calibri"/>
                <w:sz w:val="18"/>
                <w:szCs w:val="18"/>
              </w:rPr>
              <w:t xml:space="preserve">Comune con maggior decremento della popolazione rispetto al 2019 </w:t>
            </w:r>
          </w:p>
          <w:p w14:paraId="3348FA30" w14:textId="6AAE67D1"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(per 100 residenti)</w:t>
            </w:r>
          </w:p>
        </w:tc>
        <w:tc>
          <w:tcPr>
            <w:tcW w:w="16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11B2E080"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Roccanova (PZ)</w:t>
            </w:r>
          </w:p>
        </w:tc>
        <w:tc>
          <w:tcPr>
            <w:tcW w:w="7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165B58E8"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-4,9</w:t>
            </w:r>
          </w:p>
        </w:tc>
      </w:tr>
      <w:tr w:rsidR="00DA6179" w:rsidRPr="00DA6179" w14:paraId="5211C0A8" w14:textId="77777777" w:rsidTr="00D23F39">
        <w:trPr>
          <w:trHeight w:val="810"/>
        </w:trPr>
        <w:tc>
          <w:tcPr>
            <w:tcW w:w="25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319A9F3C" w14:textId="77777777" w:rsidR="00BA7FCD" w:rsidRPr="00DA6179" w:rsidRDefault="00D23F39">
            <w:pPr>
              <w:jc w:val="both"/>
              <w:rPr>
                <w:rFonts w:ascii="Arial Narrow" w:hAnsi="Arial Narrow" w:cs="Calibri"/>
                <w:sz w:val="18"/>
                <w:szCs w:val="18"/>
              </w:rPr>
            </w:pPr>
            <w:r w:rsidRPr="00DA6179">
              <w:rPr>
                <w:rFonts w:ascii="Arial Narrow" w:hAnsi="Arial Narrow" w:cs="Calibri"/>
                <w:sz w:val="18"/>
                <w:szCs w:val="18"/>
              </w:rPr>
              <w:t xml:space="preserve">Comune con maggior incremento di residenti italiani rispetto al 2019 </w:t>
            </w:r>
          </w:p>
          <w:p w14:paraId="2EE17EB5" w14:textId="723D3802"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(per 100 residenti)</w:t>
            </w:r>
          </w:p>
        </w:tc>
        <w:tc>
          <w:tcPr>
            <w:tcW w:w="16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1BC6B388"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Bernalda (MT)</w:t>
            </w:r>
          </w:p>
        </w:tc>
        <w:tc>
          <w:tcPr>
            <w:tcW w:w="7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30E230B7"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1,1</w:t>
            </w:r>
          </w:p>
        </w:tc>
        <w:tc>
          <w:tcPr>
            <w:tcW w:w="25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47D37D1E" w14:textId="77777777" w:rsidR="00EA07AD" w:rsidRPr="00DA6179" w:rsidRDefault="00D23F39">
            <w:pPr>
              <w:jc w:val="both"/>
              <w:rPr>
                <w:rFonts w:ascii="Arial Narrow" w:hAnsi="Arial Narrow" w:cs="Calibri"/>
                <w:sz w:val="18"/>
                <w:szCs w:val="18"/>
              </w:rPr>
            </w:pPr>
            <w:r w:rsidRPr="00DA6179">
              <w:rPr>
                <w:rFonts w:ascii="Arial Narrow" w:hAnsi="Arial Narrow" w:cs="Calibri"/>
                <w:sz w:val="18"/>
                <w:szCs w:val="18"/>
              </w:rPr>
              <w:t xml:space="preserve">Comune con maggior decremento di residenti italiani rispetto al 2019 </w:t>
            </w:r>
          </w:p>
          <w:p w14:paraId="70739AD1" w14:textId="63C641B4"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(per 100 residenti)</w:t>
            </w:r>
          </w:p>
        </w:tc>
        <w:tc>
          <w:tcPr>
            <w:tcW w:w="16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1E0748ED"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San Mauro Forte (MT)</w:t>
            </w:r>
          </w:p>
        </w:tc>
        <w:tc>
          <w:tcPr>
            <w:tcW w:w="7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18856F76"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-5,0</w:t>
            </w:r>
          </w:p>
        </w:tc>
      </w:tr>
      <w:tr w:rsidR="00DA6179" w:rsidRPr="00DA6179" w14:paraId="16993504" w14:textId="77777777" w:rsidTr="00D23F39">
        <w:trPr>
          <w:trHeight w:val="855"/>
        </w:trPr>
        <w:tc>
          <w:tcPr>
            <w:tcW w:w="25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6AB131EB" w14:textId="77777777" w:rsidR="00BA7FCD" w:rsidRPr="00DA6179" w:rsidRDefault="00D23F39">
            <w:pPr>
              <w:jc w:val="both"/>
              <w:rPr>
                <w:rFonts w:ascii="Arial Narrow" w:hAnsi="Arial Narrow" w:cs="Calibri"/>
                <w:sz w:val="18"/>
                <w:szCs w:val="18"/>
              </w:rPr>
            </w:pPr>
            <w:r w:rsidRPr="00DA6179">
              <w:rPr>
                <w:rFonts w:ascii="Arial Narrow" w:hAnsi="Arial Narrow" w:cs="Calibri"/>
                <w:sz w:val="18"/>
                <w:szCs w:val="18"/>
              </w:rPr>
              <w:t xml:space="preserve">Comune con maggior incremento di residenti stranieri rispetto al 2019 </w:t>
            </w:r>
          </w:p>
          <w:p w14:paraId="0E18CF1E" w14:textId="483D1729"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(per 100 residenti)</w:t>
            </w:r>
            <w:r w:rsidR="00BA7FCD" w:rsidRPr="00DA6179">
              <w:rPr>
                <w:rFonts w:ascii="Arial Narrow" w:hAnsi="Arial Narrow" w:cs="Calibri"/>
                <w:sz w:val="18"/>
                <w:szCs w:val="18"/>
              </w:rPr>
              <w:t xml:space="preserve"> </w:t>
            </w:r>
            <w:r w:rsidRPr="00DA6179">
              <w:rPr>
                <w:rFonts w:ascii="Arial Narrow" w:hAnsi="Arial Narrow" w:cs="Calibri"/>
                <w:sz w:val="18"/>
                <w:szCs w:val="18"/>
                <w:vertAlign w:val="superscript"/>
              </w:rPr>
              <w:t>(a)</w:t>
            </w:r>
          </w:p>
        </w:tc>
        <w:tc>
          <w:tcPr>
            <w:tcW w:w="16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68CE5C75"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Castelgrande (PZ)</w:t>
            </w:r>
          </w:p>
        </w:tc>
        <w:tc>
          <w:tcPr>
            <w:tcW w:w="7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4FBDD4F0"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40,0</w:t>
            </w:r>
          </w:p>
        </w:tc>
        <w:tc>
          <w:tcPr>
            <w:tcW w:w="25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4F075F64" w14:textId="77777777" w:rsidR="00EA07AD" w:rsidRPr="00DA6179" w:rsidRDefault="00D23F39">
            <w:pPr>
              <w:jc w:val="both"/>
              <w:rPr>
                <w:rFonts w:ascii="Arial Narrow" w:hAnsi="Arial Narrow" w:cs="Calibri"/>
                <w:sz w:val="18"/>
                <w:szCs w:val="18"/>
              </w:rPr>
            </w:pPr>
            <w:r w:rsidRPr="00DA6179">
              <w:rPr>
                <w:rFonts w:ascii="Arial Narrow" w:hAnsi="Arial Narrow" w:cs="Calibri"/>
                <w:sz w:val="18"/>
                <w:szCs w:val="18"/>
              </w:rPr>
              <w:t xml:space="preserve">Comune con maggior decremento di residenti stranieri rispetto al 2019 </w:t>
            </w:r>
          </w:p>
          <w:p w14:paraId="409ECC43" w14:textId="68E367A0"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(per 100 residenti)</w:t>
            </w:r>
            <w:r w:rsidR="00EA07AD" w:rsidRPr="00DA6179">
              <w:rPr>
                <w:rFonts w:ascii="Arial Narrow" w:hAnsi="Arial Narrow" w:cs="Calibri"/>
                <w:sz w:val="18"/>
                <w:szCs w:val="18"/>
              </w:rPr>
              <w:t xml:space="preserve"> </w:t>
            </w:r>
            <w:r w:rsidRPr="00DA6179">
              <w:rPr>
                <w:rFonts w:ascii="Arial Narrow" w:hAnsi="Arial Narrow" w:cs="Calibri"/>
                <w:sz w:val="18"/>
                <w:szCs w:val="18"/>
                <w:vertAlign w:val="superscript"/>
              </w:rPr>
              <w:t>(a)</w:t>
            </w:r>
          </w:p>
        </w:tc>
        <w:tc>
          <w:tcPr>
            <w:tcW w:w="160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270EEE59" w14:textId="77777777" w:rsidR="00D23F39" w:rsidRPr="00DA6179" w:rsidRDefault="00D23F39">
            <w:pPr>
              <w:jc w:val="both"/>
              <w:rPr>
                <w:rFonts w:ascii="Arial Narrow" w:hAnsi="Arial Narrow" w:cs="Calibri"/>
                <w:sz w:val="18"/>
                <w:szCs w:val="18"/>
              </w:rPr>
            </w:pPr>
            <w:r w:rsidRPr="00DA6179">
              <w:rPr>
                <w:rFonts w:ascii="Arial Narrow" w:hAnsi="Arial Narrow" w:cs="Calibri"/>
                <w:sz w:val="18"/>
                <w:szCs w:val="18"/>
              </w:rPr>
              <w:t>Chiaromonte (PZ)</w:t>
            </w:r>
          </w:p>
        </w:tc>
        <w:tc>
          <w:tcPr>
            <w:tcW w:w="700" w:type="dxa"/>
            <w:tcBorders>
              <w:top w:val="single" w:sz="4" w:space="0" w:color="auto"/>
              <w:left w:val="nil"/>
              <w:bottom w:val="single" w:sz="4" w:space="0" w:color="auto"/>
              <w:right w:val="nil"/>
            </w:tcBorders>
            <w:shd w:val="clear" w:color="000000" w:fill="D9D9D9"/>
            <w:tcMar>
              <w:top w:w="15" w:type="dxa"/>
              <w:left w:w="15" w:type="dxa"/>
              <w:bottom w:w="0" w:type="dxa"/>
              <w:right w:w="15" w:type="dxa"/>
            </w:tcMar>
            <w:vAlign w:val="center"/>
            <w:hideMark/>
          </w:tcPr>
          <w:p w14:paraId="02DA952B" w14:textId="77777777" w:rsidR="00D23F39" w:rsidRPr="00DA6179" w:rsidRDefault="00D23F39">
            <w:pPr>
              <w:jc w:val="right"/>
              <w:rPr>
                <w:rFonts w:ascii="Arial Narrow" w:hAnsi="Arial Narrow" w:cs="Calibri"/>
                <w:sz w:val="18"/>
                <w:szCs w:val="18"/>
              </w:rPr>
            </w:pPr>
            <w:r w:rsidRPr="00DA6179">
              <w:rPr>
                <w:rFonts w:ascii="Arial Narrow" w:hAnsi="Arial Narrow" w:cs="Calibri"/>
                <w:sz w:val="18"/>
                <w:szCs w:val="18"/>
              </w:rPr>
              <w:t>-62,5</w:t>
            </w:r>
          </w:p>
        </w:tc>
      </w:tr>
    </w:tbl>
    <w:p w14:paraId="13AD0536" w14:textId="0E939C3F" w:rsidR="00635226" w:rsidRPr="0059223D" w:rsidRDefault="00D23F39" w:rsidP="00635226">
      <w:pPr>
        <w:spacing w:before="60" w:after="240"/>
        <w:jc w:val="both"/>
        <w:rPr>
          <w:rFonts w:ascii="Arial Narrow" w:hAnsi="Arial Narrow" w:cs="Arial"/>
          <w:sz w:val="16"/>
          <w:szCs w:val="16"/>
        </w:rPr>
      </w:pPr>
      <w:r w:rsidRPr="0059223D">
        <w:rPr>
          <w:rFonts w:ascii="Arial Narrow" w:hAnsi="Arial Narrow" w:cs="Arial"/>
          <w:sz w:val="16"/>
          <w:szCs w:val="16"/>
          <w:vertAlign w:val="superscript"/>
        </w:rPr>
        <w:t xml:space="preserve"> </w:t>
      </w:r>
      <w:r w:rsidR="00635226" w:rsidRPr="0059223D">
        <w:rPr>
          <w:rFonts w:ascii="Arial Narrow" w:hAnsi="Arial Narrow" w:cs="Arial"/>
          <w:sz w:val="16"/>
          <w:szCs w:val="16"/>
          <w:vertAlign w:val="superscript"/>
        </w:rPr>
        <w:t>(a)</w:t>
      </w:r>
      <w:r w:rsidR="00A833D0">
        <w:rPr>
          <w:rFonts w:ascii="Arial Narrow" w:hAnsi="Arial Narrow" w:cs="Arial"/>
          <w:sz w:val="16"/>
          <w:szCs w:val="16"/>
          <w:vertAlign w:val="superscript"/>
        </w:rPr>
        <w:t xml:space="preserve"> </w:t>
      </w:r>
      <w:r w:rsidR="00635226" w:rsidRPr="0059223D">
        <w:rPr>
          <w:rFonts w:ascii="Arial Narrow" w:hAnsi="Arial Narrow" w:cs="Arial"/>
          <w:sz w:val="16"/>
          <w:szCs w:val="16"/>
        </w:rPr>
        <w:t>Per determinare il comune con il maggior incremento o decremento di popolazione straniera è stato considerato l’insieme dei comuni con almeno 10 stranieri residenti.</w:t>
      </w:r>
    </w:p>
    <w:p w14:paraId="20DF4F3C" w14:textId="0533BC7F" w:rsidR="005B0778" w:rsidRDefault="005B0778" w:rsidP="005B0778">
      <w:pPr>
        <w:spacing w:after="120"/>
        <w:jc w:val="both"/>
        <w:rPr>
          <w:rFonts w:ascii="Trebuchet MS" w:hAnsi="Trebuchet MS" w:cs="Arial"/>
          <w:color w:val="5F5F5F"/>
          <w:sz w:val="20"/>
          <w:szCs w:val="20"/>
        </w:rPr>
      </w:pPr>
      <w:r w:rsidRPr="00570DC8">
        <w:rPr>
          <w:rFonts w:ascii="Trebuchet MS" w:hAnsi="Trebuchet MS" w:cs="Arial"/>
          <w:color w:val="5F5F5F"/>
          <w:sz w:val="20"/>
          <w:szCs w:val="20"/>
        </w:rPr>
        <w:t xml:space="preserve">A livello comunale </w:t>
      </w:r>
      <w:r w:rsidR="00B25FA1" w:rsidRPr="00570DC8">
        <w:rPr>
          <w:rFonts w:ascii="Trebuchet MS" w:hAnsi="Trebuchet MS" w:cs="Arial"/>
          <w:color w:val="5F5F5F"/>
          <w:sz w:val="20"/>
          <w:szCs w:val="20"/>
        </w:rPr>
        <w:t>Marsicovetere</w:t>
      </w:r>
      <w:r w:rsidRPr="00570DC8">
        <w:rPr>
          <w:rFonts w:ascii="Trebuchet MS" w:hAnsi="Trebuchet MS" w:cs="Arial"/>
          <w:color w:val="5F5F5F"/>
          <w:sz w:val="20"/>
          <w:szCs w:val="20"/>
        </w:rPr>
        <w:t>, in provincia di P</w:t>
      </w:r>
      <w:r w:rsidR="00B25FA1" w:rsidRPr="00570DC8">
        <w:rPr>
          <w:rFonts w:ascii="Trebuchet MS" w:hAnsi="Trebuchet MS" w:cs="Arial"/>
          <w:color w:val="5F5F5F"/>
          <w:sz w:val="20"/>
          <w:szCs w:val="20"/>
        </w:rPr>
        <w:t>otenza</w:t>
      </w:r>
      <w:r w:rsidRPr="00570DC8">
        <w:rPr>
          <w:rFonts w:ascii="Trebuchet MS" w:hAnsi="Trebuchet MS" w:cs="Arial"/>
          <w:color w:val="5F5F5F"/>
          <w:sz w:val="20"/>
          <w:szCs w:val="20"/>
        </w:rPr>
        <w:t xml:space="preserve">, </w:t>
      </w:r>
      <w:r w:rsidR="00FF54A8" w:rsidRPr="00570DC8">
        <w:rPr>
          <w:rFonts w:ascii="Trebuchet MS" w:hAnsi="Trebuchet MS" w:cs="Arial"/>
          <w:color w:val="5F5F5F"/>
          <w:sz w:val="20"/>
          <w:szCs w:val="20"/>
        </w:rPr>
        <w:t>ha</w:t>
      </w:r>
      <w:r w:rsidRPr="00570DC8">
        <w:rPr>
          <w:rFonts w:ascii="Trebuchet MS" w:hAnsi="Trebuchet MS" w:cs="Arial"/>
          <w:color w:val="5F5F5F"/>
          <w:sz w:val="20"/>
          <w:szCs w:val="20"/>
        </w:rPr>
        <w:t xml:space="preserve"> l</w:t>
      </w:r>
      <w:r w:rsidR="00FF54A8" w:rsidRPr="00570DC8">
        <w:rPr>
          <w:rFonts w:ascii="Trebuchet MS" w:hAnsi="Trebuchet MS" w:cs="Arial"/>
          <w:color w:val="5F5F5F"/>
          <w:sz w:val="20"/>
          <w:szCs w:val="20"/>
        </w:rPr>
        <w:t>’</w:t>
      </w:r>
      <w:r w:rsidRPr="00570DC8">
        <w:rPr>
          <w:rFonts w:ascii="Trebuchet MS" w:hAnsi="Trebuchet MS" w:cs="Arial"/>
          <w:color w:val="5F5F5F"/>
          <w:sz w:val="20"/>
          <w:szCs w:val="20"/>
        </w:rPr>
        <w:t xml:space="preserve">età media </w:t>
      </w:r>
      <w:r w:rsidR="00FF54A8" w:rsidRPr="00570DC8">
        <w:rPr>
          <w:rFonts w:ascii="Trebuchet MS" w:hAnsi="Trebuchet MS" w:cs="Arial"/>
          <w:color w:val="5F5F5F"/>
          <w:sz w:val="20"/>
          <w:szCs w:val="20"/>
        </w:rPr>
        <w:t xml:space="preserve">più bassa </w:t>
      </w:r>
      <w:r w:rsidRPr="00570DC8">
        <w:rPr>
          <w:rFonts w:ascii="Trebuchet MS" w:hAnsi="Trebuchet MS" w:cs="Arial"/>
          <w:color w:val="5F5F5F"/>
          <w:sz w:val="20"/>
          <w:szCs w:val="20"/>
        </w:rPr>
        <w:t>(4</w:t>
      </w:r>
      <w:r w:rsidR="00B25FA1" w:rsidRPr="00570DC8">
        <w:rPr>
          <w:rFonts w:ascii="Trebuchet MS" w:hAnsi="Trebuchet MS" w:cs="Arial"/>
          <w:color w:val="5F5F5F"/>
          <w:sz w:val="20"/>
          <w:szCs w:val="20"/>
        </w:rPr>
        <w:t>1</w:t>
      </w:r>
      <w:r w:rsidRPr="00570DC8">
        <w:rPr>
          <w:rFonts w:ascii="Trebuchet MS" w:hAnsi="Trebuchet MS" w:cs="Arial"/>
          <w:color w:val="5F5F5F"/>
          <w:sz w:val="20"/>
          <w:szCs w:val="20"/>
        </w:rPr>
        <w:t>,</w:t>
      </w:r>
      <w:r w:rsidR="00B25FA1" w:rsidRPr="00570DC8">
        <w:rPr>
          <w:rFonts w:ascii="Trebuchet MS" w:hAnsi="Trebuchet MS" w:cs="Arial"/>
          <w:color w:val="5F5F5F"/>
          <w:sz w:val="20"/>
          <w:szCs w:val="20"/>
        </w:rPr>
        <w:t>8</w:t>
      </w:r>
      <w:r w:rsidRPr="00570DC8">
        <w:rPr>
          <w:rFonts w:ascii="Trebuchet MS" w:hAnsi="Trebuchet MS" w:cs="Arial"/>
          <w:color w:val="5F5F5F"/>
          <w:sz w:val="20"/>
          <w:szCs w:val="20"/>
        </w:rPr>
        <w:t xml:space="preserve"> anni) mentre </w:t>
      </w:r>
      <w:r w:rsidR="00B25FA1" w:rsidRPr="00570DC8">
        <w:rPr>
          <w:rFonts w:ascii="Trebuchet MS" w:hAnsi="Trebuchet MS" w:cs="Arial"/>
          <w:color w:val="5F5F5F"/>
          <w:sz w:val="20"/>
          <w:szCs w:val="20"/>
        </w:rPr>
        <w:t>Carbone</w:t>
      </w:r>
      <w:r w:rsidRPr="00570DC8">
        <w:rPr>
          <w:rFonts w:ascii="Trebuchet MS" w:hAnsi="Trebuchet MS" w:cs="Arial"/>
          <w:color w:val="5F5F5F"/>
          <w:sz w:val="20"/>
          <w:szCs w:val="20"/>
        </w:rPr>
        <w:t xml:space="preserve">, in provincia di </w:t>
      </w:r>
      <w:r w:rsidR="00B25FA1" w:rsidRPr="00570DC8">
        <w:rPr>
          <w:rFonts w:ascii="Trebuchet MS" w:hAnsi="Trebuchet MS" w:cs="Arial"/>
          <w:color w:val="5F5F5F"/>
          <w:sz w:val="20"/>
          <w:szCs w:val="20"/>
        </w:rPr>
        <w:t>Potenza</w:t>
      </w:r>
      <w:r w:rsidRPr="00570DC8">
        <w:rPr>
          <w:rFonts w:ascii="Trebuchet MS" w:hAnsi="Trebuchet MS" w:cs="Arial"/>
          <w:color w:val="5F5F5F"/>
          <w:sz w:val="20"/>
          <w:szCs w:val="20"/>
        </w:rPr>
        <w:t>, quell</w:t>
      </w:r>
      <w:r w:rsidR="00FF54A8" w:rsidRPr="00570DC8">
        <w:rPr>
          <w:rFonts w:ascii="Trebuchet MS" w:hAnsi="Trebuchet MS" w:cs="Arial"/>
          <w:color w:val="5F5F5F"/>
          <w:sz w:val="20"/>
          <w:szCs w:val="20"/>
        </w:rPr>
        <w:t>a</w:t>
      </w:r>
      <w:r w:rsidRPr="00570DC8">
        <w:rPr>
          <w:rFonts w:ascii="Trebuchet MS" w:hAnsi="Trebuchet MS" w:cs="Arial"/>
          <w:color w:val="5F5F5F"/>
          <w:sz w:val="20"/>
          <w:szCs w:val="20"/>
        </w:rPr>
        <w:t xml:space="preserve"> più elevata (5</w:t>
      </w:r>
      <w:r w:rsidR="00421DC8" w:rsidRPr="00570DC8">
        <w:rPr>
          <w:rFonts w:ascii="Trebuchet MS" w:hAnsi="Trebuchet MS" w:cs="Arial"/>
          <w:color w:val="5F5F5F"/>
          <w:sz w:val="20"/>
          <w:szCs w:val="20"/>
        </w:rPr>
        <w:t>7</w:t>
      </w:r>
      <w:r w:rsidRPr="00570DC8">
        <w:rPr>
          <w:rFonts w:ascii="Trebuchet MS" w:hAnsi="Trebuchet MS" w:cs="Arial"/>
          <w:color w:val="5F5F5F"/>
          <w:sz w:val="20"/>
          <w:szCs w:val="20"/>
        </w:rPr>
        <w:t>,</w:t>
      </w:r>
      <w:r w:rsidR="00421DC8" w:rsidRPr="00570DC8">
        <w:rPr>
          <w:rFonts w:ascii="Trebuchet MS" w:hAnsi="Trebuchet MS" w:cs="Arial"/>
          <w:color w:val="5F5F5F"/>
          <w:sz w:val="20"/>
          <w:szCs w:val="20"/>
        </w:rPr>
        <w:t>9</w:t>
      </w:r>
      <w:r w:rsidRPr="00570DC8">
        <w:rPr>
          <w:rFonts w:ascii="Trebuchet MS" w:hAnsi="Trebuchet MS" w:cs="Arial"/>
          <w:color w:val="5F5F5F"/>
          <w:sz w:val="20"/>
          <w:szCs w:val="20"/>
        </w:rPr>
        <w:t xml:space="preserve"> anni). S</w:t>
      </w:r>
      <w:r w:rsidR="00421DC8" w:rsidRPr="00570DC8">
        <w:rPr>
          <w:rFonts w:ascii="Trebuchet MS" w:hAnsi="Trebuchet MS" w:cs="Arial"/>
          <w:color w:val="5F5F5F"/>
          <w:sz w:val="20"/>
          <w:szCs w:val="20"/>
        </w:rPr>
        <w:t>canzano Jonico</w:t>
      </w:r>
      <w:r w:rsidRPr="00570DC8">
        <w:rPr>
          <w:rFonts w:ascii="Trebuchet MS" w:hAnsi="Trebuchet MS" w:cs="Arial"/>
          <w:color w:val="5F5F5F"/>
          <w:sz w:val="20"/>
          <w:szCs w:val="20"/>
        </w:rPr>
        <w:t xml:space="preserve">, in provincia di </w:t>
      </w:r>
      <w:r w:rsidR="00421DC8" w:rsidRPr="00570DC8">
        <w:rPr>
          <w:rFonts w:ascii="Trebuchet MS" w:hAnsi="Trebuchet MS" w:cs="Arial"/>
          <w:color w:val="5F5F5F"/>
          <w:sz w:val="20"/>
          <w:szCs w:val="20"/>
        </w:rPr>
        <w:t>Matera</w:t>
      </w:r>
      <w:r w:rsidRPr="00570DC8">
        <w:rPr>
          <w:rFonts w:ascii="Trebuchet MS" w:hAnsi="Trebuchet MS" w:cs="Arial"/>
          <w:color w:val="5F5F5F"/>
          <w:sz w:val="20"/>
          <w:szCs w:val="20"/>
        </w:rPr>
        <w:t>, è invece il comune con il maggior incremento di popolazione (+</w:t>
      </w:r>
      <w:r w:rsidR="00421DC8" w:rsidRPr="00570DC8">
        <w:rPr>
          <w:rFonts w:ascii="Trebuchet MS" w:hAnsi="Trebuchet MS" w:cs="Arial"/>
          <w:color w:val="5F5F5F"/>
          <w:sz w:val="20"/>
          <w:szCs w:val="20"/>
        </w:rPr>
        <w:t>2</w:t>
      </w:r>
      <w:r w:rsidRPr="00570DC8">
        <w:rPr>
          <w:rFonts w:ascii="Trebuchet MS" w:hAnsi="Trebuchet MS" w:cs="Arial"/>
          <w:color w:val="5F5F5F"/>
          <w:sz w:val="20"/>
          <w:szCs w:val="20"/>
        </w:rPr>
        <w:t>,</w:t>
      </w:r>
      <w:r w:rsidR="00421DC8" w:rsidRPr="00570DC8">
        <w:rPr>
          <w:rFonts w:ascii="Trebuchet MS" w:hAnsi="Trebuchet MS" w:cs="Arial"/>
          <w:color w:val="5F5F5F"/>
          <w:sz w:val="20"/>
          <w:szCs w:val="20"/>
        </w:rPr>
        <w:t>2</w:t>
      </w:r>
      <w:r w:rsidRPr="00570DC8">
        <w:rPr>
          <w:rFonts w:ascii="Trebuchet MS" w:hAnsi="Trebuchet MS" w:cs="Arial"/>
          <w:color w:val="5F5F5F"/>
          <w:sz w:val="20"/>
          <w:szCs w:val="20"/>
        </w:rPr>
        <w:t xml:space="preserve">%) e </w:t>
      </w:r>
      <w:r w:rsidR="00421DC8" w:rsidRPr="00570DC8">
        <w:rPr>
          <w:rFonts w:ascii="Trebuchet MS" w:hAnsi="Trebuchet MS" w:cs="Arial"/>
          <w:color w:val="5F5F5F"/>
          <w:sz w:val="20"/>
          <w:szCs w:val="20"/>
        </w:rPr>
        <w:t xml:space="preserve">Bernalda, in provincia di Matera, quello con il maggiore incremento </w:t>
      </w:r>
      <w:r w:rsidRPr="00570DC8">
        <w:rPr>
          <w:rFonts w:ascii="Trebuchet MS" w:hAnsi="Trebuchet MS" w:cs="Arial"/>
          <w:color w:val="5F5F5F"/>
          <w:sz w:val="20"/>
          <w:szCs w:val="20"/>
        </w:rPr>
        <w:t>di residenti italiani (+</w:t>
      </w:r>
      <w:r w:rsidR="00421DC8" w:rsidRPr="00570DC8">
        <w:rPr>
          <w:rFonts w:ascii="Trebuchet MS" w:hAnsi="Trebuchet MS" w:cs="Arial"/>
          <w:color w:val="5F5F5F"/>
          <w:sz w:val="20"/>
          <w:szCs w:val="20"/>
        </w:rPr>
        <w:t>1</w:t>
      </w:r>
      <w:r w:rsidRPr="00570DC8">
        <w:rPr>
          <w:rFonts w:ascii="Trebuchet MS" w:hAnsi="Trebuchet MS" w:cs="Arial"/>
          <w:color w:val="5F5F5F"/>
          <w:sz w:val="20"/>
          <w:szCs w:val="20"/>
        </w:rPr>
        <w:t>,</w:t>
      </w:r>
      <w:r w:rsidR="00421DC8" w:rsidRPr="00570DC8">
        <w:rPr>
          <w:rFonts w:ascii="Trebuchet MS" w:hAnsi="Trebuchet MS" w:cs="Arial"/>
          <w:color w:val="5F5F5F"/>
          <w:sz w:val="20"/>
          <w:szCs w:val="20"/>
        </w:rPr>
        <w:t>1</w:t>
      </w:r>
      <w:r w:rsidRPr="00570DC8">
        <w:rPr>
          <w:rFonts w:ascii="Trebuchet MS" w:hAnsi="Trebuchet MS" w:cs="Arial"/>
          <w:color w:val="5F5F5F"/>
          <w:sz w:val="20"/>
          <w:szCs w:val="20"/>
        </w:rPr>
        <w:t xml:space="preserve">%) rispetto al 2019. In termini di popolazione residente, il comune più piccolo è </w:t>
      </w:r>
      <w:r w:rsidR="00421DC8" w:rsidRPr="00570DC8">
        <w:rPr>
          <w:rFonts w:ascii="Trebuchet MS" w:hAnsi="Trebuchet MS" w:cs="Arial"/>
          <w:color w:val="5F5F5F"/>
          <w:sz w:val="20"/>
          <w:szCs w:val="20"/>
        </w:rPr>
        <w:t>San Paolo Albanese</w:t>
      </w:r>
      <w:r w:rsidRPr="00570DC8">
        <w:rPr>
          <w:rFonts w:ascii="Trebuchet MS" w:hAnsi="Trebuchet MS" w:cs="Arial"/>
          <w:color w:val="5F5F5F"/>
          <w:sz w:val="20"/>
          <w:szCs w:val="20"/>
        </w:rPr>
        <w:t xml:space="preserve">, in provincia di </w:t>
      </w:r>
      <w:r w:rsidR="00421DC8" w:rsidRPr="00570DC8">
        <w:rPr>
          <w:rFonts w:ascii="Trebuchet MS" w:hAnsi="Trebuchet MS" w:cs="Arial"/>
          <w:color w:val="5F5F5F"/>
          <w:sz w:val="20"/>
          <w:szCs w:val="20"/>
        </w:rPr>
        <w:t>Potenza</w:t>
      </w:r>
      <w:r w:rsidRPr="00570DC8">
        <w:rPr>
          <w:rFonts w:ascii="Trebuchet MS" w:hAnsi="Trebuchet MS" w:cs="Arial"/>
          <w:color w:val="5F5F5F"/>
          <w:sz w:val="20"/>
          <w:szCs w:val="20"/>
        </w:rPr>
        <w:t xml:space="preserve">, con </w:t>
      </w:r>
      <w:r w:rsidR="00421DC8" w:rsidRPr="00570DC8">
        <w:rPr>
          <w:rFonts w:ascii="Trebuchet MS" w:hAnsi="Trebuchet MS" w:cs="Arial"/>
          <w:color w:val="5F5F5F"/>
          <w:sz w:val="20"/>
          <w:szCs w:val="20"/>
        </w:rPr>
        <w:t>226</w:t>
      </w:r>
      <w:r w:rsidRPr="00570DC8">
        <w:rPr>
          <w:rFonts w:ascii="Trebuchet MS" w:hAnsi="Trebuchet MS" w:cs="Arial"/>
          <w:color w:val="5F5F5F"/>
          <w:sz w:val="20"/>
          <w:szCs w:val="20"/>
        </w:rPr>
        <w:t xml:space="preserve"> abitanti mentre </w:t>
      </w:r>
      <w:r w:rsidR="00421DC8" w:rsidRPr="00570DC8">
        <w:rPr>
          <w:rFonts w:ascii="Trebuchet MS" w:hAnsi="Trebuchet MS" w:cs="Arial"/>
          <w:color w:val="5F5F5F"/>
          <w:sz w:val="20"/>
          <w:szCs w:val="20"/>
        </w:rPr>
        <w:t>Potenza</w:t>
      </w:r>
      <w:r w:rsidRPr="00570DC8">
        <w:rPr>
          <w:rFonts w:ascii="Trebuchet MS" w:hAnsi="Trebuchet MS" w:cs="Arial"/>
          <w:color w:val="5F5F5F"/>
          <w:sz w:val="20"/>
          <w:szCs w:val="20"/>
        </w:rPr>
        <w:t xml:space="preserve"> continua a essere il più grande (</w:t>
      </w:r>
      <w:r w:rsidR="00421DC8" w:rsidRPr="00570DC8">
        <w:rPr>
          <w:rFonts w:ascii="Trebuchet MS" w:hAnsi="Trebuchet MS" w:cs="Arial"/>
          <w:color w:val="5F5F5F"/>
          <w:sz w:val="20"/>
          <w:szCs w:val="20"/>
        </w:rPr>
        <w:t>65.420</w:t>
      </w:r>
      <w:r w:rsidRPr="00570DC8">
        <w:rPr>
          <w:rFonts w:ascii="Trebuchet MS" w:hAnsi="Trebuchet MS" w:cs="Arial"/>
          <w:color w:val="5F5F5F"/>
          <w:sz w:val="20"/>
          <w:szCs w:val="20"/>
        </w:rPr>
        <w:t xml:space="preserve"> abitanti)</w:t>
      </w:r>
      <w:r w:rsidR="00FF54A8" w:rsidRPr="00570DC8">
        <w:rPr>
          <w:rFonts w:ascii="Trebuchet MS" w:hAnsi="Trebuchet MS" w:cs="Arial"/>
          <w:color w:val="5F5F5F"/>
          <w:sz w:val="20"/>
          <w:szCs w:val="20"/>
        </w:rPr>
        <w:t xml:space="preserve"> (Prospetto 6)</w:t>
      </w:r>
      <w:r w:rsidRPr="00570DC8">
        <w:rPr>
          <w:rFonts w:ascii="Trebuchet MS" w:hAnsi="Trebuchet MS" w:cs="Arial"/>
          <w:color w:val="5F5F5F"/>
          <w:sz w:val="20"/>
          <w:szCs w:val="20"/>
        </w:rPr>
        <w:t>.</w:t>
      </w:r>
      <w:r>
        <w:rPr>
          <w:rFonts w:ascii="Trebuchet MS" w:hAnsi="Trebuchet MS" w:cs="Arial"/>
          <w:color w:val="5F5F5F"/>
          <w:sz w:val="20"/>
          <w:szCs w:val="20"/>
        </w:rPr>
        <w:t xml:space="preserve"> </w:t>
      </w:r>
    </w:p>
    <w:p w14:paraId="31C3C9B3" w14:textId="77777777" w:rsidR="00F02A05" w:rsidRPr="00F02A05" w:rsidRDefault="00F02A05" w:rsidP="00047761">
      <w:pPr>
        <w:spacing w:after="120"/>
        <w:jc w:val="both"/>
        <w:rPr>
          <w:rFonts w:ascii="Trebuchet MS" w:hAnsi="Trebuchet MS" w:cs="Arial"/>
          <w:b/>
          <w:iCs/>
          <w:color w:val="5F5F5F"/>
          <w:kern w:val="28"/>
          <w:sz w:val="6"/>
          <w:szCs w:val="6"/>
        </w:rPr>
      </w:pPr>
    </w:p>
    <w:p w14:paraId="2B8E46B6" w14:textId="1CAEB8FA" w:rsidR="0072244C" w:rsidRDefault="008C7BC5" w:rsidP="00047761">
      <w:pPr>
        <w:spacing w:after="120"/>
        <w:jc w:val="both"/>
        <w:rPr>
          <w:rFonts w:ascii="Trebuchet MS" w:hAnsi="Trebuchet MS" w:cs="Arial"/>
          <w:i/>
          <w:color w:val="5F5F5F"/>
          <w:sz w:val="20"/>
          <w:szCs w:val="20"/>
        </w:rPr>
      </w:pPr>
      <w:r w:rsidRPr="007E75F4">
        <w:rPr>
          <w:rFonts w:ascii="Trebuchet MS" w:hAnsi="Trebuchet MS" w:cs="Arial"/>
          <w:b/>
          <w:iCs/>
          <w:color w:val="5F5F5F"/>
          <w:kern w:val="28"/>
          <w:sz w:val="22"/>
          <w:szCs w:val="22"/>
        </w:rPr>
        <w:t>P</w:t>
      </w:r>
      <w:r w:rsidR="00A45A78" w:rsidRPr="007E75F4">
        <w:rPr>
          <w:rFonts w:ascii="Trebuchet MS" w:hAnsi="Trebuchet MS" w:cs="Arial"/>
          <w:b/>
          <w:iCs/>
          <w:color w:val="5F5F5F"/>
          <w:kern w:val="28"/>
          <w:sz w:val="22"/>
          <w:szCs w:val="22"/>
        </w:rPr>
        <w:t>opolazione straniera</w:t>
      </w:r>
      <w:r w:rsidR="008C0254" w:rsidRPr="007E75F4">
        <w:rPr>
          <w:rFonts w:ascii="Trebuchet MS" w:hAnsi="Trebuchet MS" w:cs="Arial"/>
          <w:b/>
          <w:iCs/>
          <w:color w:val="5F5F5F"/>
          <w:kern w:val="28"/>
          <w:sz w:val="22"/>
          <w:szCs w:val="22"/>
        </w:rPr>
        <w:t xml:space="preserve"> residente</w:t>
      </w:r>
      <w:r w:rsidR="008C0254" w:rsidRPr="00307371">
        <w:rPr>
          <w:rFonts w:ascii="Trebuchet MS" w:hAnsi="Trebuchet MS" w:cs="Arial"/>
          <w:b/>
          <w:iCs/>
          <w:color w:val="5F5F5F"/>
          <w:kern w:val="28"/>
          <w:sz w:val="22"/>
          <w:szCs w:val="22"/>
        </w:rPr>
        <w:t xml:space="preserve"> </w:t>
      </w:r>
    </w:p>
    <w:p w14:paraId="36C08625" w14:textId="5F23435F" w:rsidR="00BB0936" w:rsidRDefault="00BB0936" w:rsidP="00047761">
      <w:pPr>
        <w:spacing w:after="120"/>
        <w:jc w:val="both"/>
        <w:rPr>
          <w:rFonts w:ascii="Trebuchet MS" w:hAnsi="Trebuchet MS" w:cs="Arial"/>
          <w:color w:val="5F5F5F"/>
          <w:sz w:val="20"/>
          <w:szCs w:val="20"/>
        </w:rPr>
      </w:pPr>
      <w:r w:rsidRPr="00570DC8">
        <w:rPr>
          <w:rFonts w:ascii="Trebuchet MS" w:hAnsi="Trebuchet MS" w:cs="Arial"/>
          <w:color w:val="5F5F5F"/>
          <w:sz w:val="20"/>
          <w:szCs w:val="20"/>
        </w:rPr>
        <w:t>Sulla base della dinamica demografica di fonte anagrafica (saldo naturale e saldo migratorio) intercorsa nell’anno 2020, combinata alle risultanze derivanti dai “segnali di vita amministrativi” (saldo tra sovra e</w:t>
      </w:r>
      <w:r w:rsidRPr="00F803F8">
        <w:rPr>
          <w:rFonts w:ascii="Trebuchet MS" w:hAnsi="Trebuchet MS" w:cs="Arial"/>
          <w:color w:val="5F5F5F"/>
          <w:sz w:val="20"/>
          <w:szCs w:val="20"/>
        </w:rPr>
        <w:t xml:space="preserve"> </w:t>
      </w:r>
      <w:r w:rsidRPr="00570DC8">
        <w:rPr>
          <w:rFonts w:ascii="Trebuchet MS" w:hAnsi="Trebuchet MS" w:cs="Arial"/>
          <w:color w:val="5F5F5F"/>
          <w:sz w:val="20"/>
          <w:szCs w:val="20"/>
        </w:rPr>
        <w:t xml:space="preserve">sotto copertura anagrafica degli stranieri), la popolazione straniera della </w:t>
      </w:r>
      <w:r w:rsidR="001116AB" w:rsidRPr="00570DC8">
        <w:rPr>
          <w:rFonts w:ascii="Trebuchet MS" w:hAnsi="Trebuchet MS" w:cs="Arial"/>
          <w:color w:val="5F5F5F"/>
          <w:sz w:val="20"/>
          <w:szCs w:val="20"/>
        </w:rPr>
        <w:t>Basilicata</w:t>
      </w:r>
      <w:r w:rsidRPr="00570DC8">
        <w:rPr>
          <w:rFonts w:ascii="Trebuchet MS" w:hAnsi="Trebuchet MS" w:cs="Arial"/>
          <w:color w:val="5F5F5F"/>
          <w:sz w:val="20"/>
          <w:szCs w:val="20"/>
        </w:rPr>
        <w:t xml:space="preserve"> ammonta a </w:t>
      </w:r>
      <w:r w:rsidR="001116AB" w:rsidRPr="00570DC8">
        <w:rPr>
          <w:rFonts w:ascii="Trebuchet MS" w:hAnsi="Trebuchet MS" w:cs="Arial"/>
          <w:color w:val="5F5F5F"/>
          <w:sz w:val="20"/>
          <w:szCs w:val="20"/>
        </w:rPr>
        <w:t>22.011</w:t>
      </w:r>
      <w:r w:rsidRPr="00570DC8">
        <w:rPr>
          <w:rFonts w:ascii="Trebuchet MS" w:hAnsi="Trebuchet MS" w:cs="Arial"/>
          <w:color w:val="5F5F5F"/>
          <w:sz w:val="20"/>
          <w:szCs w:val="20"/>
        </w:rPr>
        <w:t xml:space="preserve"> </w:t>
      </w:r>
      <w:r w:rsidR="00C77DC5" w:rsidRPr="00570DC8">
        <w:rPr>
          <w:rFonts w:ascii="Trebuchet MS" w:hAnsi="Trebuchet MS" w:cs="Arial"/>
          <w:color w:val="5F5F5F"/>
          <w:sz w:val="20"/>
          <w:szCs w:val="20"/>
        </w:rPr>
        <w:t>residenti</w:t>
      </w:r>
      <w:r w:rsidR="008C0254" w:rsidRPr="00570DC8">
        <w:rPr>
          <w:rFonts w:ascii="Trebuchet MS" w:hAnsi="Trebuchet MS" w:cs="Arial"/>
          <w:color w:val="5F5F5F"/>
          <w:sz w:val="20"/>
          <w:szCs w:val="20"/>
        </w:rPr>
        <w:t xml:space="preserve">, </w:t>
      </w:r>
      <w:r w:rsidRPr="00570DC8">
        <w:rPr>
          <w:rFonts w:ascii="Trebuchet MS" w:hAnsi="Trebuchet MS" w:cs="Arial"/>
          <w:color w:val="5F5F5F"/>
          <w:sz w:val="20"/>
          <w:szCs w:val="20"/>
        </w:rPr>
        <w:t>con un</w:t>
      </w:r>
      <w:r w:rsidR="00721632">
        <w:rPr>
          <w:rFonts w:ascii="Trebuchet MS" w:hAnsi="Trebuchet MS" w:cs="Arial"/>
          <w:color w:val="5F5F5F"/>
          <w:sz w:val="20"/>
          <w:szCs w:val="20"/>
        </w:rPr>
        <w:t>a diminuzione</w:t>
      </w:r>
      <w:r w:rsidRPr="00570DC8">
        <w:rPr>
          <w:rFonts w:ascii="Trebuchet MS" w:hAnsi="Trebuchet MS" w:cs="Arial"/>
          <w:color w:val="5F5F5F"/>
          <w:sz w:val="20"/>
          <w:szCs w:val="20"/>
        </w:rPr>
        <w:t xml:space="preserve"> di </w:t>
      </w:r>
      <w:r w:rsidR="001116AB" w:rsidRPr="00570DC8">
        <w:rPr>
          <w:rFonts w:ascii="Trebuchet MS" w:hAnsi="Trebuchet MS" w:cs="Arial"/>
          <w:color w:val="5F5F5F"/>
          <w:sz w:val="20"/>
          <w:szCs w:val="20"/>
        </w:rPr>
        <w:t>circa 500</w:t>
      </w:r>
      <w:r w:rsidRPr="00570DC8">
        <w:rPr>
          <w:rFonts w:ascii="Trebuchet MS" w:hAnsi="Trebuchet MS" w:cs="Arial"/>
          <w:color w:val="5F5F5F"/>
          <w:sz w:val="20"/>
          <w:szCs w:val="20"/>
        </w:rPr>
        <w:t xml:space="preserve"> unità (</w:t>
      </w:r>
      <w:r w:rsidR="001116AB" w:rsidRPr="00570DC8">
        <w:rPr>
          <w:rFonts w:ascii="Trebuchet MS" w:hAnsi="Trebuchet MS" w:cs="Arial"/>
          <w:color w:val="5F5F5F"/>
          <w:sz w:val="20"/>
          <w:szCs w:val="20"/>
        </w:rPr>
        <w:t>-2,5</w:t>
      </w:r>
      <w:r w:rsidRPr="00570DC8">
        <w:rPr>
          <w:rFonts w:ascii="Trebuchet MS" w:hAnsi="Trebuchet MS" w:cs="Arial"/>
          <w:color w:val="5F5F5F"/>
          <w:sz w:val="20"/>
          <w:szCs w:val="20"/>
        </w:rPr>
        <w:t xml:space="preserve">%) rispetto al </w:t>
      </w:r>
      <w:r w:rsidR="00E77827" w:rsidRPr="00570DC8">
        <w:rPr>
          <w:rFonts w:ascii="Trebuchet MS" w:hAnsi="Trebuchet MS" w:cs="Arial"/>
          <w:color w:val="5F5F5F"/>
          <w:sz w:val="20"/>
          <w:szCs w:val="20"/>
        </w:rPr>
        <w:t>C</w:t>
      </w:r>
      <w:r w:rsidRPr="00570DC8">
        <w:rPr>
          <w:rFonts w:ascii="Trebuchet MS" w:hAnsi="Trebuchet MS" w:cs="Arial"/>
          <w:color w:val="5F5F5F"/>
          <w:sz w:val="20"/>
          <w:szCs w:val="20"/>
        </w:rPr>
        <w:t>ensimento 2019</w:t>
      </w:r>
      <w:r w:rsidR="00FF54A8" w:rsidRPr="00570DC8">
        <w:rPr>
          <w:rFonts w:ascii="Trebuchet MS" w:hAnsi="Trebuchet MS" w:cs="Arial"/>
          <w:color w:val="5F5F5F"/>
          <w:sz w:val="20"/>
          <w:szCs w:val="20"/>
        </w:rPr>
        <w:t xml:space="preserve"> (Prospetto 7)</w:t>
      </w:r>
      <w:r w:rsidRPr="00570DC8">
        <w:rPr>
          <w:rFonts w:ascii="Trebuchet MS" w:hAnsi="Trebuchet MS" w:cs="Arial"/>
          <w:color w:val="5F5F5F"/>
          <w:sz w:val="20"/>
          <w:szCs w:val="20"/>
        </w:rPr>
        <w:t xml:space="preserve">. </w:t>
      </w:r>
    </w:p>
    <w:p w14:paraId="66DC6B40" w14:textId="77777777" w:rsidR="003A0F52" w:rsidRPr="00570DC8" w:rsidRDefault="003A0F52" w:rsidP="00047761">
      <w:pPr>
        <w:spacing w:after="120"/>
        <w:jc w:val="both"/>
        <w:rPr>
          <w:rFonts w:ascii="Trebuchet MS" w:hAnsi="Trebuchet MS" w:cs="Arial"/>
          <w:color w:val="5F5F5F"/>
          <w:sz w:val="20"/>
          <w:szCs w:val="20"/>
        </w:rPr>
      </w:pPr>
    </w:p>
    <w:p w14:paraId="12E71D19" w14:textId="29457C10" w:rsidR="00BB0936" w:rsidRPr="00570DC8" w:rsidRDefault="001116AB" w:rsidP="00BB0936">
      <w:pPr>
        <w:tabs>
          <w:tab w:val="left" w:pos="567"/>
        </w:tabs>
        <w:spacing w:after="120"/>
        <w:jc w:val="both"/>
        <w:rPr>
          <w:rFonts w:ascii="Trebuchet MS" w:hAnsi="Trebuchet MS" w:cs="Arial"/>
          <w:color w:val="5F5F5F"/>
          <w:sz w:val="20"/>
          <w:szCs w:val="20"/>
        </w:rPr>
      </w:pPr>
      <w:r w:rsidRPr="00570DC8">
        <w:rPr>
          <w:rFonts w:ascii="Trebuchet MS" w:hAnsi="Trebuchet MS" w:cs="Arial"/>
          <w:color w:val="5F5F5F"/>
          <w:sz w:val="20"/>
          <w:szCs w:val="20"/>
        </w:rPr>
        <w:lastRenderedPageBreak/>
        <w:t>Il de</w:t>
      </w:r>
      <w:r w:rsidR="00BB0936" w:rsidRPr="00570DC8">
        <w:rPr>
          <w:rFonts w:ascii="Trebuchet MS" w:hAnsi="Trebuchet MS" w:cs="Arial"/>
          <w:color w:val="5F5F5F"/>
          <w:sz w:val="20"/>
          <w:szCs w:val="20"/>
        </w:rPr>
        <w:t xml:space="preserve">cremento </w:t>
      </w:r>
      <w:r w:rsidR="00C77DC5" w:rsidRPr="00570DC8">
        <w:rPr>
          <w:rFonts w:ascii="Trebuchet MS" w:hAnsi="Trebuchet MS" w:cs="Arial"/>
          <w:color w:val="5F5F5F"/>
          <w:sz w:val="20"/>
          <w:szCs w:val="20"/>
        </w:rPr>
        <w:t xml:space="preserve">della popolazione straniera </w:t>
      </w:r>
      <w:r w:rsidR="00BB0936" w:rsidRPr="00570DC8">
        <w:rPr>
          <w:rFonts w:ascii="Trebuchet MS" w:hAnsi="Trebuchet MS" w:cs="Arial"/>
          <w:color w:val="5F5F5F"/>
          <w:sz w:val="20"/>
          <w:szCs w:val="20"/>
        </w:rPr>
        <w:t>ha</w:t>
      </w:r>
      <w:r w:rsidR="00C77DC5" w:rsidRPr="00570DC8">
        <w:rPr>
          <w:rFonts w:ascii="Trebuchet MS" w:hAnsi="Trebuchet MS" w:cs="Arial"/>
          <w:color w:val="5F5F5F"/>
          <w:sz w:val="20"/>
          <w:szCs w:val="20"/>
        </w:rPr>
        <w:t xml:space="preserve"> </w:t>
      </w:r>
      <w:r w:rsidR="001734E2" w:rsidRPr="00570DC8">
        <w:rPr>
          <w:rFonts w:ascii="Trebuchet MS" w:hAnsi="Trebuchet MS" w:cs="Arial"/>
          <w:color w:val="5F5F5F"/>
          <w:sz w:val="20"/>
          <w:szCs w:val="20"/>
        </w:rPr>
        <w:t>ulteriormente accentuato</w:t>
      </w:r>
      <w:r w:rsidR="00C77DC5" w:rsidRPr="00570DC8">
        <w:rPr>
          <w:rFonts w:ascii="Trebuchet MS" w:hAnsi="Trebuchet MS" w:cs="Arial"/>
          <w:color w:val="5F5F5F"/>
          <w:sz w:val="20"/>
          <w:szCs w:val="20"/>
        </w:rPr>
        <w:t xml:space="preserve"> </w:t>
      </w:r>
      <w:r w:rsidR="001734E2" w:rsidRPr="00570DC8">
        <w:rPr>
          <w:rFonts w:ascii="Trebuchet MS" w:hAnsi="Trebuchet MS" w:cs="Arial"/>
          <w:color w:val="5F5F5F"/>
          <w:sz w:val="20"/>
          <w:szCs w:val="20"/>
        </w:rPr>
        <w:t>la riduzione</w:t>
      </w:r>
      <w:r w:rsidR="00BB0936" w:rsidRPr="00570DC8">
        <w:rPr>
          <w:rFonts w:ascii="Trebuchet MS" w:hAnsi="Trebuchet MS" w:cs="Arial"/>
          <w:color w:val="5F5F5F"/>
          <w:sz w:val="20"/>
          <w:szCs w:val="20"/>
        </w:rPr>
        <w:t xml:space="preserve"> </w:t>
      </w:r>
      <w:r w:rsidR="000F7524" w:rsidRPr="00570DC8">
        <w:rPr>
          <w:rFonts w:ascii="Trebuchet MS" w:hAnsi="Trebuchet MS" w:cs="Arial"/>
          <w:color w:val="5F5F5F"/>
          <w:sz w:val="20"/>
          <w:szCs w:val="20"/>
        </w:rPr>
        <w:t>di quella</w:t>
      </w:r>
      <w:r w:rsidR="00BB0936" w:rsidRPr="00570DC8">
        <w:rPr>
          <w:rFonts w:ascii="Trebuchet MS" w:hAnsi="Trebuchet MS" w:cs="Arial"/>
          <w:color w:val="5F5F5F"/>
          <w:sz w:val="20"/>
          <w:szCs w:val="20"/>
        </w:rPr>
        <w:t xml:space="preserve"> complessiva. </w:t>
      </w:r>
      <w:r w:rsidR="001734E2" w:rsidRPr="00570DC8">
        <w:rPr>
          <w:rFonts w:ascii="Trebuchet MS" w:hAnsi="Trebuchet MS" w:cs="Arial"/>
          <w:color w:val="5F5F5F"/>
          <w:sz w:val="20"/>
          <w:szCs w:val="20"/>
        </w:rPr>
        <w:t>Gli st</w:t>
      </w:r>
      <w:r w:rsidR="000C7777" w:rsidRPr="00570DC8">
        <w:rPr>
          <w:rFonts w:ascii="Trebuchet MS" w:hAnsi="Trebuchet MS" w:cs="Arial"/>
          <w:color w:val="5F5F5F"/>
          <w:sz w:val="20"/>
          <w:szCs w:val="20"/>
        </w:rPr>
        <w:t>r</w:t>
      </w:r>
      <w:r w:rsidR="001734E2" w:rsidRPr="00570DC8">
        <w:rPr>
          <w:rFonts w:ascii="Trebuchet MS" w:hAnsi="Trebuchet MS" w:cs="Arial"/>
          <w:color w:val="5F5F5F"/>
          <w:sz w:val="20"/>
          <w:szCs w:val="20"/>
        </w:rPr>
        <w:t>a</w:t>
      </w:r>
      <w:r w:rsidR="000C7777" w:rsidRPr="00570DC8">
        <w:rPr>
          <w:rFonts w:ascii="Trebuchet MS" w:hAnsi="Trebuchet MS" w:cs="Arial"/>
          <w:color w:val="5F5F5F"/>
          <w:sz w:val="20"/>
          <w:szCs w:val="20"/>
        </w:rPr>
        <w:t>nieri sono, in valor</w:t>
      </w:r>
      <w:r w:rsidR="002F312E" w:rsidRPr="00570DC8">
        <w:rPr>
          <w:rFonts w:ascii="Trebuchet MS" w:hAnsi="Trebuchet MS" w:cs="Arial"/>
          <w:color w:val="5F5F5F"/>
          <w:sz w:val="20"/>
          <w:szCs w:val="20"/>
        </w:rPr>
        <w:t>e</w:t>
      </w:r>
      <w:r w:rsidR="000C7777" w:rsidRPr="00570DC8">
        <w:rPr>
          <w:rFonts w:ascii="Trebuchet MS" w:hAnsi="Trebuchet MS" w:cs="Arial"/>
          <w:color w:val="5F5F5F"/>
          <w:sz w:val="20"/>
          <w:szCs w:val="20"/>
        </w:rPr>
        <w:t xml:space="preserve"> assolut</w:t>
      </w:r>
      <w:r w:rsidR="002F312E" w:rsidRPr="00570DC8">
        <w:rPr>
          <w:rFonts w:ascii="Trebuchet MS" w:hAnsi="Trebuchet MS" w:cs="Arial"/>
          <w:color w:val="5F5F5F"/>
          <w:sz w:val="20"/>
          <w:szCs w:val="20"/>
        </w:rPr>
        <w:t>o</w:t>
      </w:r>
      <w:r w:rsidR="000C7777" w:rsidRPr="00570DC8">
        <w:rPr>
          <w:rFonts w:ascii="Trebuchet MS" w:hAnsi="Trebuchet MS" w:cs="Arial"/>
          <w:color w:val="5F5F5F"/>
          <w:sz w:val="20"/>
          <w:szCs w:val="20"/>
        </w:rPr>
        <w:t xml:space="preserve">, equamente distribuiti tra le due province sebbene </w:t>
      </w:r>
      <w:r w:rsidR="002F312E" w:rsidRPr="00570DC8">
        <w:rPr>
          <w:rFonts w:ascii="Trebuchet MS" w:hAnsi="Trebuchet MS" w:cs="Arial"/>
          <w:color w:val="5F5F5F"/>
          <w:sz w:val="20"/>
          <w:szCs w:val="20"/>
        </w:rPr>
        <w:t>la quota di stranieri più alta</w:t>
      </w:r>
      <w:r w:rsidR="000C7777" w:rsidRPr="00570DC8">
        <w:rPr>
          <w:rFonts w:ascii="Trebuchet MS" w:hAnsi="Trebuchet MS" w:cs="Arial"/>
          <w:color w:val="5F5F5F"/>
          <w:sz w:val="20"/>
          <w:szCs w:val="20"/>
        </w:rPr>
        <w:t xml:space="preserve"> </w:t>
      </w:r>
      <w:r w:rsidR="002F312E" w:rsidRPr="00570DC8">
        <w:rPr>
          <w:rFonts w:ascii="Trebuchet MS" w:hAnsi="Trebuchet MS" w:cs="Arial"/>
          <w:color w:val="5F5F5F"/>
          <w:sz w:val="20"/>
          <w:szCs w:val="20"/>
        </w:rPr>
        <w:t>sia registrata</w:t>
      </w:r>
      <w:r w:rsidR="000C7777" w:rsidRPr="00570DC8">
        <w:rPr>
          <w:rFonts w:ascii="Trebuchet MS" w:hAnsi="Trebuchet MS" w:cs="Arial"/>
          <w:color w:val="5F5F5F"/>
          <w:sz w:val="20"/>
          <w:szCs w:val="20"/>
        </w:rPr>
        <w:t xml:space="preserve"> nella provincia di Matera</w:t>
      </w:r>
      <w:r w:rsidR="002F312E" w:rsidRPr="00570DC8">
        <w:rPr>
          <w:rFonts w:ascii="Trebuchet MS" w:hAnsi="Trebuchet MS" w:cs="Arial"/>
          <w:color w:val="5F5F5F"/>
          <w:sz w:val="20"/>
          <w:szCs w:val="20"/>
        </w:rPr>
        <w:t>. Rispetto all’anno precedente, In provincia di Potenza i cittadini stranieri risu</w:t>
      </w:r>
      <w:r w:rsidR="00721632">
        <w:rPr>
          <w:rFonts w:ascii="Trebuchet MS" w:hAnsi="Trebuchet MS" w:cs="Arial"/>
          <w:color w:val="5F5F5F"/>
          <w:sz w:val="20"/>
          <w:szCs w:val="20"/>
        </w:rPr>
        <w:t>lt</w:t>
      </w:r>
      <w:r w:rsidR="002F312E" w:rsidRPr="00570DC8">
        <w:rPr>
          <w:rFonts w:ascii="Trebuchet MS" w:hAnsi="Trebuchet MS" w:cs="Arial"/>
          <w:color w:val="5F5F5F"/>
          <w:sz w:val="20"/>
          <w:szCs w:val="20"/>
        </w:rPr>
        <w:t>ano in diminuzione (-6,6%) a fronte di un aumento nella provincia di Matera (2,1%).</w:t>
      </w:r>
    </w:p>
    <w:p w14:paraId="159DA696" w14:textId="2A6ACD1C" w:rsidR="000F7524" w:rsidRDefault="000F7524" w:rsidP="00047761">
      <w:pPr>
        <w:jc w:val="both"/>
        <w:rPr>
          <w:rFonts w:ascii="Trebuchet MS" w:hAnsi="Trebuchet MS" w:cs="Arial"/>
          <w:color w:val="5F5F5F"/>
          <w:sz w:val="20"/>
          <w:szCs w:val="20"/>
        </w:rPr>
      </w:pPr>
      <w:r w:rsidRPr="00570DC8">
        <w:rPr>
          <w:rFonts w:ascii="Trebuchet MS" w:hAnsi="Trebuchet MS" w:cs="Arial"/>
          <w:color w:val="5F5F5F"/>
          <w:sz w:val="20"/>
          <w:szCs w:val="20"/>
        </w:rPr>
        <w:t xml:space="preserve">In </w:t>
      </w:r>
      <w:r w:rsidR="002F312E" w:rsidRPr="00570DC8">
        <w:rPr>
          <w:rFonts w:ascii="Trebuchet MS" w:hAnsi="Trebuchet MS" w:cs="Arial"/>
          <w:color w:val="5F5F5F"/>
          <w:sz w:val="20"/>
          <w:szCs w:val="20"/>
        </w:rPr>
        <w:t>Basilicata</w:t>
      </w:r>
      <w:r w:rsidRPr="00570DC8">
        <w:rPr>
          <w:rFonts w:ascii="Trebuchet MS" w:hAnsi="Trebuchet MS" w:cs="Arial"/>
          <w:color w:val="5F5F5F"/>
          <w:sz w:val="20"/>
          <w:szCs w:val="20"/>
        </w:rPr>
        <w:t xml:space="preserve"> la popolazione straniera è mediamente più giovane</w:t>
      </w:r>
      <w:r w:rsidRPr="00570DC8">
        <w:t xml:space="preserve"> </w:t>
      </w:r>
      <w:r w:rsidRPr="00570DC8">
        <w:rPr>
          <w:rFonts w:ascii="Trebuchet MS" w:hAnsi="Trebuchet MS" w:cs="Arial"/>
          <w:color w:val="5F5F5F"/>
          <w:sz w:val="20"/>
          <w:szCs w:val="20"/>
        </w:rPr>
        <w:t>rispetto alla componente di nazionalità italiana. L’età media è di 3</w:t>
      </w:r>
      <w:r w:rsidR="002F312E" w:rsidRPr="00570DC8">
        <w:rPr>
          <w:rFonts w:ascii="Trebuchet MS" w:hAnsi="Trebuchet MS" w:cs="Arial"/>
          <w:color w:val="5F5F5F"/>
          <w:sz w:val="20"/>
          <w:szCs w:val="20"/>
        </w:rPr>
        <w:t>3</w:t>
      </w:r>
      <w:r w:rsidRPr="00570DC8">
        <w:rPr>
          <w:rFonts w:ascii="Trebuchet MS" w:hAnsi="Trebuchet MS" w:cs="Arial"/>
          <w:color w:val="5F5F5F"/>
          <w:sz w:val="20"/>
          <w:szCs w:val="20"/>
        </w:rPr>
        <w:t>,</w:t>
      </w:r>
      <w:r w:rsidR="002F312E" w:rsidRPr="00570DC8">
        <w:rPr>
          <w:rFonts w:ascii="Trebuchet MS" w:hAnsi="Trebuchet MS" w:cs="Arial"/>
          <w:color w:val="5F5F5F"/>
          <w:sz w:val="20"/>
          <w:szCs w:val="20"/>
        </w:rPr>
        <w:t>6</w:t>
      </w:r>
      <w:r w:rsidRPr="00570DC8">
        <w:rPr>
          <w:rFonts w:ascii="Trebuchet MS" w:hAnsi="Trebuchet MS" w:cs="Arial"/>
          <w:color w:val="5F5F5F"/>
          <w:sz w:val="20"/>
          <w:szCs w:val="20"/>
        </w:rPr>
        <w:t xml:space="preserve"> anni contro 4</w:t>
      </w:r>
      <w:r w:rsidR="000F0AFA" w:rsidRPr="00570DC8">
        <w:rPr>
          <w:rFonts w:ascii="Trebuchet MS" w:hAnsi="Trebuchet MS" w:cs="Arial"/>
          <w:color w:val="5F5F5F"/>
          <w:sz w:val="20"/>
          <w:szCs w:val="20"/>
        </w:rPr>
        <w:t>6</w:t>
      </w:r>
      <w:r w:rsidRPr="00570DC8">
        <w:rPr>
          <w:rFonts w:ascii="Trebuchet MS" w:hAnsi="Trebuchet MS" w:cs="Arial"/>
          <w:color w:val="5F5F5F"/>
          <w:sz w:val="20"/>
          <w:szCs w:val="20"/>
        </w:rPr>
        <w:t>,</w:t>
      </w:r>
      <w:r w:rsidR="000F0AFA" w:rsidRPr="00570DC8">
        <w:rPr>
          <w:rFonts w:ascii="Trebuchet MS" w:hAnsi="Trebuchet MS" w:cs="Arial"/>
          <w:color w:val="5F5F5F"/>
          <w:sz w:val="20"/>
          <w:szCs w:val="20"/>
        </w:rPr>
        <w:t>5</w:t>
      </w:r>
      <w:r w:rsidRPr="00570DC8">
        <w:rPr>
          <w:rFonts w:ascii="Trebuchet MS" w:hAnsi="Trebuchet MS" w:cs="Arial"/>
          <w:color w:val="5F5F5F"/>
          <w:sz w:val="20"/>
          <w:szCs w:val="20"/>
        </w:rPr>
        <w:t xml:space="preserve"> anni degli italiani e la presenza maschile è </w:t>
      </w:r>
      <w:r w:rsidR="002D17ED" w:rsidRPr="00570DC8">
        <w:rPr>
          <w:rFonts w:ascii="Trebuchet MS" w:hAnsi="Trebuchet MS" w:cs="Arial"/>
          <w:color w:val="5F5F5F"/>
          <w:sz w:val="20"/>
          <w:szCs w:val="20"/>
        </w:rPr>
        <w:t>maggiore</w:t>
      </w:r>
      <w:r w:rsidRPr="00570DC8">
        <w:rPr>
          <w:rFonts w:ascii="Trebuchet MS" w:hAnsi="Trebuchet MS" w:cs="Arial"/>
          <w:color w:val="5F5F5F"/>
          <w:sz w:val="20"/>
          <w:szCs w:val="20"/>
        </w:rPr>
        <w:t xml:space="preserve"> (</w:t>
      </w:r>
      <w:r w:rsidR="002D17ED" w:rsidRPr="00570DC8">
        <w:rPr>
          <w:rFonts w:ascii="Trebuchet MS" w:hAnsi="Trebuchet MS" w:cs="Arial"/>
          <w:color w:val="5F5F5F"/>
          <w:sz w:val="20"/>
          <w:szCs w:val="20"/>
        </w:rPr>
        <w:t>103,1</w:t>
      </w:r>
      <w:r w:rsidRPr="00570DC8">
        <w:rPr>
          <w:rFonts w:ascii="Trebuchet MS" w:hAnsi="Trebuchet MS" w:cs="Arial"/>
          <w:color w:val="5F5F5F"/>
          <w:sz w:val="20"/>
          <w:szCs w:val="20"/>
        </w:rPr>
        <w:t xml:space="preserve"> stranieri ogni 100 straniere e 9</w:t>
      </w:r>
      <w:r w:rsidR="000F0AFA" w:rsidRPr="00570DC8">
        <w:rPr>
          <w:rFonts w:ascii="Trebuchet MS" w:hAnsi="Trebuchet MS" w:cs="Arial"/>
          <w:color w:val="5F5F5F"/>
          <w:sz w:val="20"/>
          <w:szCs w:val="20"/>
        </w:rPr>
        <w:t>6</w:t>
      </w:r>
      <w:r w:rsidRPr="00570DC8">
        <w:rPr>
          <w:rFonts w:ascii="Trebuchet MS" w:hAnsi="Trebuchet MS" w:cs="Arial"/>
          <w:color w:val="5F5F5F"/>
          <w:sz w:val="20"/>
          <w:szCs w:val="20"/>
        </w:rPr>
        <w:t>,</w:t>
      </w:r>
      <w:r w:rsidR="000F0AFA" w:rsidRPr="00570DC8">
        <w:rPr>
          <w:rFonts w:ascii="Trebuchet MS" w:hAnsi="Trebuchet MS" w:cs="Arial"/>
          <w:color w:val="5F5F5F"/>
          <w:sz w:val="20"/>
          <w:szCs w:val="20"/>
        </w:rPr>
        <w:t>4</w:t>
      </w:r>
      <w:r w:rsidRPr="00570DC8">
        <w:rPr>
          <w:rFonts w:ascii="Trebuchet MS" w:hAnsi="Trebuchet MS" w:cs="Arial"/>
          <w:color w:val="5F5F5F"/>
          <w:sz w:val="20"/>
          <w:szCs w:val="20"/>
        </w:rPr>
        <w:t xml:space="preserve"> italiani ogni 100 italiane). Rispetto ai valori medi regionali, la provincia di </w:t>
      </w:r>
      <w:r w:rsidR="002D17ED" w:rsidRPr="00570DC8">
        <w:rPr>
          <w:rFonts w:ascii="Trebuchet MS" w:hAnsi="Trebuchet MS" w:cs="Arial"/>
          <w:color w:val="5F5F5F"/>
          <w:sz w:val="20"/>
          <w:szCs w:val="20"/>
        </w:rPr>
        <w:t>Matera</w:t>
      </w:r>
      <w:r w:rsidRPr="00570DC8">
        <w:rPr>
          <w:rFonts w:ascii="Trebuchet MS" w:hAnsi="Trebuchet MS" w:cs="Arial"/>
          <w:color w:val="5F5F5F"/>
          <w:sz w:val="20"/>
          <w:szCs w:val="20"/>
        </w:rPr>
        <w:t xml:space="preserve"> è quella con la popolazione straniera più giovane (età media </w:t>
      </w:r>
      <w:r w:rsidR="002D17ED" w:rsidRPr="00570DC8">
        <w:rPr>
          <w:rFonts w:ascii="Trebuchet MS" w:hAnsi="Trebuchet MS" w:cs="Arial"/>
          <w:color w:val="5F5F5F"/>
          <w:sz w:val="20"/>
          <w:szCs w:val="20"/>
        </w:rPr>
        <w:t>32,8</w:t>
      </w:r>
      <w:r w:rsidRPr="00570DC8">
        <w:rPr>
          <w:rFonts w:ascii="Trebuchet MS" w:hAnsi="Trebuchet MS" w:cs="Arial"/>
          <w:color w:val="5F5F5F"/>
          <w:sz w:val="20"/>
          <w:szCs w:val="20"/>
        </w:rPr>
        <w:t xml:space="preserve"> anni) e prevalentemente di genere maschile (1</w:t>
      </w:r>
      <w:r w:rsidR="002D17ED" w:rsidRPr="00570DC8">
        <w:rPr>
          <w:rFonts w:ascii="Trebuchet MS" w:hAnsi="Trebuchet MS" w:cs="Arial"/>
          <w:color w:val="5F5F5F"/>
          <w:sz w:val="20"/>
          <w:szCs w:val="20"/>
        </w:rPr>
        <w:t>09,6</w:t>
      </w:r>
      <w:r w:rsidRPr="00570DC8">
        <w:rPr>
          <w:rFonts w:ascii="Trebuchet MS" w:hAnsi="Trebuchet MS" w:cs="Arial"/>
          <w:color w:val="5F5F5F"/>
          <w:sz w:val="20"/>
          <w:szCs w:val="20"/>
        </w:rPr>
        <w:t xml:space="preserve"> stranieri ogni 100 straniere).</w:t>
      </w:r>
    </w:p>
    <w:p w14:paraId="055A5114" w14:textId="77777777" w:rsidR="000F7524" w:rsidRDefault="000F7524" w:rsidP="00BB0936">
      <w:pPr>
        <w:tabs>
          <w:tab w:val="left" w:pos="567"/>
        </w:tabs>
        <w:spacing w:after="120"/>
        <w:jc w:val="both"/>
        <w:rPr>
          <w:rFonts w:ascii="Trebuchet MS" w:hAnsi="Trebuchet MS" w:cs="Arial"/>
          <w:color w:val="5F5F5F"/>
          <w:sz w:val="20"/>
          <w:szCs w:val="20"/>
        </w:rPr>
      </w:pPr>
    </w:p>
    <w:p w14:paraId="7BB842AD" w14:textId="69EC4BFB" w:rsidR="00AE59C4" w:rsidRPr="00047761" w:rsidDel="00AE59C4" w:rsidRDefault="00BB0936" w:rsidP="005B0778">
      <w:pPr>
        <w:tabs>
          <w:tab w:val="left" w:pos="567"/>
        </w:tabs>
        <w:spacing w:after="120"/>
        <w:jc w:val="both"/>
        <w:rPr>
          <w:rFonts w:ascii="Arial Narrow" w:hAnsi="Arial Narrow" w:cs="Calibri"/>
          <w:color w:val="595959" w:themeColor="text1" w:themeTint="A6"/>
          <w:sz w:val="18"/>
          <w:szCs w:val="18"/>
        </w:rPr>
      </w:pPr>
      <w:r w:rsidRPr="001A589C">
        <w:rPr>
          <w:rFonts w:ascii="Arial Narrow" w:hAnsi="Arial Narrow"/>
          <w:b/>
          <w:bCs/>
          <w:color w:val="595959" w:themeColor="text1" w:themeTint="A6"/>
          <w:sz w:val="22"/>
          <w:szCs w:val="22"/>
        </w:rPr>
        <w:t xml:space="preserve">PROSPETTO </w:t>
      </w:r>
      <w:r w:rsidR="000E7CDD" w:rsidRPr="001A589C">
        <w:rPr>
          <w:rFonts w:ascii="Arial Narrow" w:hAnsi="Arial Narrow"/>
          <w:b/>
          <w:bCs/>
          <w:color w:val="595959" w:themeColor="text1" w:themeTint="A6"/>
          <w:sz w:val="22"/>
          <w:szCs w:val="22"/>
        </w:rPr>
        <w:t>7</w:t>
      </w:r>
      <w:r w:rsidRPr="001A589C">
        <w:rPr>
          <w:rFonts w:ascii="Arial Narrow" w:hAnsi="Arial Narrow"/>
          <w:b/>
          <w:bCs/>
          <w:color w:val="595959" w:themeColor="text1" w:themeTint="A6"/>
          <w:sz w:val="22"/>
          <w:szCs w:val="22"/>
        </w:rPr>
        <w:t xml:space="preserve">. </w:t>
      </w:r>
      <w:r w:rsidRPr="001A589C">
        <w:rPr>
          <w:rFonts w:ascii="Arial Narrow" w:hAnsi="Arial Narrow"/>
          <w:bCs/>
          <w:color w:val="595959" w:themeColor="text1" w:themeTint="A6"/>
          <w:sz w:val="22"/>
          <w:szCs w:val="22"/>
        </w:rPr>
        <w:t>POPOLAZIONE STRANIERA RESIDENTE PER PROVINCIA.</w:t>
      </w:r>
      <w:r w:rsidRPr="001A589C">
        <w:rPr>
          <w:rFonts w:ascii="Arial Narrow" w:hAnsi="Arial Narrow"/>
          <w:b/>
          <w:bCs/>
          <w:color w:val="595959" w:themeColor="text1" w:themeTint="A6"/>
          <w:sz w:val="22"/>
          <w:szCs w:val="22"/>
        </w:rPr>
        <w:t xml:space="preserve"> </w:t>
      </w:r>
      <w:r w:rsidRPr="001A589C">
        <w:rPr>
          <w:rFonts w:ascii="Arial Narrow" w:hAnsi="Arial Narrow"/>
          <w:bCs/>
          <w:color w:val="595959" w:themeColor="text1" w:themeTint="A6"/>
          <w:sz w:val="22"/>
          <w:szCs w:val="22"/>
        </w:rPr>
        <w:t>Censimento 2020, valori assoluti e percentuali</w:t>
      </w:r>
    </w:p>
    <w:tbl>
      <w:tblPr>
        <w:tblW w:w="9600" w:type="dxa"/>
        <w:tblCellMar>
          <w:left w:w="70" w:type="dxa"/>
          <w:right w:w="70" w:type="dxa"/>
        </w:tblCellMar>
        <w:tblLook w:val="04A0" w:firstRow="1" w:lastRow="0" w:firstColumn="1" w:lastColumn="0" w:noHBand="0" w:noVBand="1"/>
      </w:tblPr>
      <w:tblGrid>
        <w:gridCol w:w="1820"/>
        <w:gridCol w:w="1400"/>
        <w:gridCol w:w="1760"/>
        <w:gridCol w:w="1540"/>
        <w:gridCol w:w="1540"/>
        <w:gridCol w:w="1540"/>
      </w:tblGrid>
      <w:tr w:rsidR="00D23F39" w14:paraId="71FDB781" w14:textId="77777777" w:rsidTr="00D23F39">
        <w:trPr>
          <w:trHeight w:val="540"/>
        </w:trPr>
        <w:tc>
          <w:tcPr>
            <w:tcW w:w="1820" w:type="dxa"/>
            <w:tcBorders>
              <w:top w:val="single" w:sz="4" w:space="0" w:color="auto"/>
              <w:left w:val="nil"/>
              <w:bottom w:val="single" w:sz="4" w:space="0" w:color="auto"/>
              <w:right w:val="nil"/>
            </w:tcBorders>
            <w:shd w:val="clear" w:color="auto" w:fill="auto"/>
            <w:vAlign w:val="center"/>
            <w:hideMark/>
          </w:tcPr>
          <w:p w14:paraId="241E2DC4" w14:textId="77777777" w:rsidR="00D23F39" w:rsidRDefault="00D23F39">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400" w:type="dxa"/>
            <w:tcBorders>
              <w:top w:val="single" w:sz="4" w:space="0" w:color="auto"/>
              <w:left w:val="nil"/>
              <w:bottom w:val="single" w:sz="4" w:space="0" w:color="auto"/>
              <w:right w:val="nil"/>
            </w:tcBorders>
            <w:shd w:val="clear" w:color="auto" w:fill="auto"/>
            <w:vAlign w:val="center"/>
            <w:hideMark/>
          </w:tcPr>
          <w:p w14:paraId="34CE8A7A" w14:textId="77777777" w:rsidR="00D23F39" w:rsidRDefault="00D23F39">
            <w:pPr>
              <w:jc w:val="right"/>
              <w:rPr>
                <w:rFonts w:ascii="Arial Narrow" w:hAnsi="Arial Narrow" w:cs="Calibri"/>
                <w:b/>
                <w:bCs/>
                <w:color w:val="000000"/>
                <w:sz w:val="18"/>
                <w:szCs w:val="18"/>
              </w:rPr>
            </w:pPr>
            <w:r>
              <w:rPr>
                <w:rFonts w:ascii="Arial Narrow" w:hAnsi="Arial Narrow" w:cs="Calibri"/>
                <w:b/>
                <w:bCs/>
                <w:color w:val="000000"/>
                <w:sz w:val="18"/>
                <w:szCs w:val="18"/>
              </w:rPr>
              <w:t>Valori assoluti</w:t>
            </w:r>
          </w:p>
        </w:tc>
        <w:tc>
          <w:tcPr>
            <w:tcW w:w="1760" w:type="dxa"/>
            <w:tcBorders>
              <w:top w:val="single" w:sz="4" w:space="0" w:color="auto"/>
              <w:left w:val="nil"/>
              <w:bottom w:val="single" w:sz="4" w:space="0" w:color="auto"/>
              <w:right w:val="nil"/>
            </w:tcBorders>
            <w:shd w:val="clear" w:color="auto" w:fill="auto"/>
            <w:vAlign w:val="center"/>
            <w:hideMark/>
          </w:tcPr>
          <w:p w14:paraId="72A32EBA" w14:textId="77777777" w:rsidR="00D23F39" w:rsidRDefault="00D23F39">
            <w:pPr>
              <w:jc w:val="right"/>
              <w:rPr>
                <w:rFonts w:ascii="Arial Narrow" w:hAnsi="Arial Narrow" w:cs="Calibri"/>
                <w:b/>
                <w:bCs/>
                <w:color w:val="000000"/>
                <w:sz w:val="18"/>
                <w:szCs w:val="18"/>
              </w:rPr>
            </w:pPr>
            <w:r>
              <w:rPr>
                <w:rFonts w:ascii="Arial Narrow" w:hAnsi="Arial Narrow" w:cs="Calibri"/>
                <w:b/>
                <w:bCs/>
                <w:color w:val="000000"/>
                <w:sz w:val="18"/>
                <w:szCs w:val="18"/>
              </w:rPr>
              <w:t>Variazione percentuale rispetto al 2019</w:t>
            </w:r>
          </w:p>
        </w:tc>
        <w:tc>
          <w:tcPr>
            <w:tcW w:w="1540" w:type="dxa"/>
            <w:tcBorders>
              <w:top w:val="single" w:sz="4" w:space="0" w:color="auto"/>
              <w:left w:val="nil"/>
              <w:bottom w:val="single" w:sz="4" w:space="0" w:color="auto"/>
              <w:right w:val="nil"/>
            </w:tcBorders>
            <w:shd w:val="clear" w:color="auto" w:fill="auto"/>
            <w:vAlign w:val="center"/>
            <w:hideMark/>
          </w:tcPr>
          <w:p w14:paraId="79448F8D" w14:textId="241F7E80" w:rsidR="00D23F39" w:rsidRDefault="002C7038">
            <w:pPr>
              <w:jc w:val="right"/>
              <w:rPr>
                <w:rFonts w:ascii="Arial Narrow" w:hAnsi="Arial Narrow" w:cs="Calibri"/>
                <w:b/>
                <w:bCs/>
                <w:color w:val="000000"/>
                <w:sz w:val="18"/>
                <w:szCs w:val="18"/>
              </w:rPr>
            </w:pPr>
            <w:r>
              <w:rPr>
                <w:rFonts w:ascii="Arial Narrow" w:hAnsi="Arial Narrow" w:cs="Calibri"/>
                <w:b/>
                <w:bCs/>
                <w:color w:val="000000"/>
                <w:sz w:val="18"/>
                <w:szCs w:val="18"/>
              </w:rPr>
              <w:t>Valori per</w:t>
            </w:r>
            <w:r w:rsidR="00D23F39">
              <w:rPr>
                <w:rFonts w:ascii="Arial Narrow" w:hAnsi="Arial Narrow" w:cs="Calibri"/>
                <w:b/>
                <w:bCs/>
                <w:color w:val="000000"/>
                <w:sz w:val="18"/>
                <w:szCs w:val="18"/>
              </w:rPr>
              <w:t xml:space="preserve"> 100 censiti in totale</w:t>
            </w:r>
          </w:p>
        </w:tc>
        <w:tc>
          <w:tcPr>
            <w:tcW w:w="1540" w:type="dxa"/>
            <w:tcBorders>
              <w:top w:val="single" w:sz="4" w:space="0" w:color="auto"/>
              <w:left w:val="nil"/>
              <w:bottom w:val="single" w:sz="4" w:space="0" w:color="auto"/>
              <w:right w:val="nil"/>
            </w:tcBorders>
            <w:shd w:val="clear" w:color="auto" w:fill="auto"/>
            <w:vAlign w:val="center"/>
            <w:hideMark/>
          </w:tcPr>
          <w:p w14:paraId="56440956" w14:textId="77777777" w:rsidR="00D23F39" w:rsidRDefault="00D23F39">
            <w:pPr>
              <w:jc w:val="right"/>
              <w:rPr>
                <w:rFonts w:ascii="Arial Narrow" w:hAnsi="Arial Narrow" w:cs="Calibri"/>
                <w:b/>
                <w:bCs/>
                <w:color w:val="000000"/>
                <w:sz w:val="18"/>
                <w:szCs w:val="18"/>
              </w:rPr>
            </w:pPr>
            <w:r>
              <w:rPr>
                <w:rFonts w:ascii="Arial Narrow" w:hAnsi="Arial Narrow" w:cs="Calibri"/>
                <w:b/>
                <w:bCs/>
                <w:color w:val="000000"/>
                <w:sz w:val="18"/>
                <w:szCs w:val="18"/>
              </w:rPr>
              <w:t>Età media</w:t>
            </w:r>
          </w:p>
        </w:tc>
        <w:tc>
          <w:tcPr>
            <w:tcW w:w="1540" w:type="dxa"/>
            <w:tcBorders>
              <w:top w:val="single" w:sz="4" w:space="0" w:color="auto"/>
              <w:left w:val="nil"/>
              <w:bottom w:val="single" w:sz="4" w:space="0" w:color="auto"/>
              <w:right w:val="nil"/>
            </w:tcBorders>
            <w:shd w:val="clear" w:color="auto" w:fill="auto"/>
            <w:vAlign w:val="center"/>
            <w:hideMark/>
          </w:tcPr>
          <w:p w14:paraId="0B26FE7D" w14:textId="14798F79" w:rsidR="00D23F39" w:rsidRDefault="00D23F39">
            <w:pPr>
              <w:jc w:val="right"/>
              <w:rPr>
                <w:rFonts w:ascii="Arial Narrow" w:hAnsi="Arial Narrow" w:cs="Calibri"/>
                <w:b/>
                <w:bCs/>
                <w:color w:val="000000"/>
                <w:sz w:val="18"/>
                <w:szCs w:val="18"/>
              </w:rPr>
            </w:pPr>
            <w:r>
              <w:rPr>
                <w:rFonts w:ascii="Arial Narrow" w:hAnsi="Arial Narrow" w:cs="Calibri"/>
                <w:b/>
                <w:bCs/>
                <w:color w:val="000000"/>
                <w:sz w:val="18"/>
                <w:szCs w:val="18"/>
              </w:rPr>
              <w:t>Rapporto di mascolinità</w:t>
            </w:r>
            <w:r w:rsidR="002C7038">
              <w:rPr>
                <w:rFonts w:ascii="Arial Narrow" w:hAnsi="Arial Narrow" w:cs="Calibri"/>
                <w:b/>
                <w:bCs/>
                <w:color w:val="000000"/>
                <w:sz w:val="18"/>
                <w:szCs w:val="18"/>
              </w:rPr>
              <w:t xml:space="preserve"> (%)</w:t>
            </w:r>
          </w:p>
        </w:tc>
      </w:tr>
      <w:tr w:rsidR="00D23F39" w14:paraId="44E64201" w14:textId="77777777" w:rsidTr="00D23F39">
        <w:trPr>
          <w:trHeight w:val="300"/>
        </w:trPr>
        <w:tc>
          <w:tcPr>
            <w:tcW w:w="1820" w:type="dxa"/>
            <w:tcBorders>
              <w:top w:val="nil"/>
              <w:left w:val="nil"/>
              <w:bottom w:val="single" w:sz="4" w:space="0" w:color="auto"/>
              <w:right w:val="nil"/>
            </w:tcBorders>
            <w:shd w:val="clear" w:color="auto" w:fill="auto"/>
            <w:noWrap/>
            <w:vAlign w:val="center"/>
            <w:hideMark/>
          </w:tcPr>
          <w:p w14:paraId="2D75D59D" w14:textId="77777777" w:rsidR="00D23F39" w:rsidRDefault="00D23F39">
            <w:pPr>
              <w:rPr>
                <w:rFonts w:ascii="Arial Narrow" w:hAnsi="Arial Narrow" w:cs="Calibri"/>
                <w:color w:val="000000"/>
                <w:sz w:val="18"/>
                <w:szCs w:val="18"/>
              </w:rPr>
            </w:pPr>
            <w:r>
              <w:rPr>
                <w:rFonts w:ascii="Arial Narrow" w:hAnsi="Arial Narrow" w:cs="Calibri"/>
                <w:color w:val="000000"/>
                <w:sz w:val="18"/>
                <w:szCs w:val="18"/>
              </w:rPr>
              <w:t>Matera</w:t>
            </w:r>
          </w:p>
        </w:tc>
        <w:tc>
          <w:tcPr>
            <w:tcW w:w="1400" w:type="dxa"/>
            <w:tcBorders>
              <w:top w:val="nil"/>
              <w:left w:val="nil"/>
              <w:bottom w:val="single" w:sz="4" w:space="0" w:color="auto"/>
              <w:right w:val="nil"/>
            </w:tcBorders>
            <w:shd w:val="clear" w:color="000000" w:fill="D9D9D9"/>
            <w:noWrap/>
            <w:vAlign w:val="center"/>
            <w:hideMark/>
          </w:tcPr>
          <w:p w14:paraId="1C90A45B"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10.944</w:t>
            </w:r>
          </w:p>
        </w:tc>
        <w:tc>
          <w:tcPr>
            <w:tcW w:w="1760" w:type="dxa"/>
            <w:tcBorders>
              <w:top w:val="nil"/>
              <w:left w:val="nil"/>
              <w:bottom w:val="single" w:sz="4" w:space="0" w:color="auto"/>
              <w:right w:val="nil"/>
            </w:tcBorders>
            <w:shd w:val="clear" w:color="auto" w:fill="auto"/>
            <w:noWrap/>
            <w:vAlign w:val="center"/>
            <w:hideMark/>
          </w:tcPr>
          <w:p w14:paraId="73FDF300"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2,1</w:t>
            </w:r>
          </w:p>
        </w:tc>
        <w:tc>
          <w:tcPr>
            <w:tcW w:w="1540" w:type="dxa"/>
            <w:tcBorders>
              <w:top w:val="nil"/>
              <w:left w:val="nil"/>
              <w:bottom w:val="single" w:sz="4" w:space="0" w:color="auto"/>
              <w:right w:val="nil"/>
            </w:tcBorders>
            <w:shd w:val="clear" w:color="000000" w:fill="D9D9D9"/>
            <w:noWrap/>
            <w:vAlign w:val="center"/>
            <w:hideMark/>
          </w:tcPr>
          <w:p w14:paraId="70602CD3"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5,7</w:t>
            </w:r>
          </w:p>
        </w:tc>
        <w:tc>
          <w:tcPr>
            <w:tcW w:w="1540" w:type="dxa"/>
            <w:tcBorders>
              <w:top w:val="nil"/>
              <w:left w:val="nil"/>
              <w:bottom w:val="single" w:sz="4" w:space="0" w:color="auto"/>
              <w:right w:val="nil"/>
            </w:tcBorders>
            <w:shd w:val="clear" w:color="auto" w:fill="auto"/>
            <w:noWrap/>
            <w:vAlign w:val="center"/>
            <w:hideMark/>
          </w:tcPr>
          <w:p w14:paraId="34A49529"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32,8</w:t>
            </w:r>
          </w:p>
        </w:tc>
        <w:tc>
          <w:tcPr>
            <w:tcW w:w="1540" w:type="dxa"/>
            <w:tcBorders>
              <w:top w:val="nil"/>
              <w:left w:val="nil"/>
              <w:bottom w:val="single" w:sz="4" w:space="0" w:color="auto"/>
              <w:right w:val="nil"/>
            </w:tcBorders>
            <w:shd w:val="clear" w:color="000000" w:fill="D9D9D9"/>
            <w:noWrap/>
            <w:vAlign w:val="center"/>
            <w:hideMark/>
          </w:tcPr>
          <w:p w14:paraId="28FB1F23"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109,6</w:t>
            </w:r>
          </w:p>
        </w:tc>
      </w:tr>
      <w:tr w:rsidR="00D23F39" w14:paraId="20352B47" w14:textId="77777777" w:rsidTr="00D23F39">
        <w:trPr>
          <w:trHeight w:val="300"/>
        </w:trPr>
        <w:tc>
          <w:tcPr>
            <w:tcW w:w="1820" w:type="dxa"/>
            <w:tcBorders>
              <w:top w:val="nil"/>
              <w:left w:val="nil"/>
              <w:bottom w:val="single" w:sz="4" w:space="0" w:color="auto"/>
              <w:right w:val="nil"/>
            </w:tcBorders>
            <w:shd w:val="clear" w:color="auto" w:fill="auto"/>
            <w:noWrap/>
            <w:vAlign w:val="center"/>
            <w:hideMark/>
          </w:tcPr>
          <w:p w14:paraId="507EF45B" w14:textId="77777777" w:rsidR="00D23F39" w:rsidRDefault="00D23F39">
            <w:pPr>
              <w:rPr>
                <w:rFonts w:ascii="Arial Narrow" w:hAnsi="Arial Narrow" w:cs="Calibri"/>
                <w:color w:val="000000"/>
                <w:sz w:val="18"/>
                <w:szCs w:val="18"/>
              </w:rPr>
            </w:pPr>
            <w:r>
              <w:rPr>
                <w:rFonts w:ascii="Arial Narrow" w:hAnsi="Arial Narrow" w:cs="Calibri"/>
                <w:color w:val="000000"/>
                <w:sz w:val="18"/>
                <w:szCs w:val="18"/>
              </w:rPr>
              <w:t>Potenza</w:t>
            </w:r>
          </w:p>
        </w:tc>
        <w:tc>
          <w:tcPr>
            <w:tcW w:w="1400" w:type="dxa"/>
            <w:tcBorders>
              <w:top w:val="nil"/>
              <w:left w:val="nil"/>
              <w:bottom w:val="single" w:sz="4" w:space="0" w:color="auto"/>
              <w:right w:val="nil"/>
            </w:tcBorders>
            <w:shd w:val="clear" w:color="000000" w:fill="D9D9D9"/>
            <w:noWrap/>
            <w:vAlign w:val="center"/>
            <w:hideMark/>
          </w:tcPr>
          <w:p w14:paraId="317138A7"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11.067</w:t>
            </w:r>
          </w:p>
        </w:tc>
        <w:tc>
          <w:tcPr>
            <w:tcW w:w="1760" w:type="dxa"/>
            <w:tcBorders>
              <w:top w:val="nil"/>
              <w:left w:val="nil"/>
              <w:bottom w:val="single" w:sz="4" w:space="0" w:color="auto"/>
              <w:right w:val="nil"/>
            </w:tcBorders>
            <w:shd w:val="clear" w:color="auto" w:fill="auto"/>
            <w:noWrap/>
            <w:vAlign w:val="center"/>
            <w:hideMark/>
          </w:tcPr>
          <w:p w14:paraId="5F97203B"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-6,6</w:t>
            </w:r>
          </w:p>
        </w:tc>
        <w:tc>
          <w:tcPr>
            <w:tcW w:w="1540" w:type="dxa"/>
            <w:tcBorders>
              <w:top w:val="nil"/>
              <w:left w:val="nil"/>
              <w:bottom w:val="single" w:sz="4" w:space="0" w:color="auto"/>
              <w:right w:val="nil"/>
            </w:tcBorders>
            <w:shd w:val="clear" w:color="000000" w:fill="D9D9D9"/>
            <w:noWrap/>
            <w:vAlign w:val="center"/>
            <w:hideMark/>
          </w:tcPr>
          <w:p w14:paraId="43BC4ECD"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1540" w:type="dxa"/>
            <w:tcBorders>
              <w:top w:val="nil"/>
              <w:left w:val="nil"/>
              <w:bottom w:val="single" w:sz="4" w:space="0" w:color="auto"/>
              <w:right w:val="nil"/>
            </w:tcBorders>
            <w:shd w:val="clear" w:color="auto" w:fill="auto"/>
            <w:noWrap/>
            <w:vAlign w:val="center"/>
            <w:hideMark/>
          </w:tcPr>
          <w:p w14:paraId="2A27E05F"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34,5</w:t>
            </w:r>
          </w:p>
        </w:tc>
        <w:tc>
          <w:tcPr>
            <w:tcW w:w="1540" w:type="dxa"/>
            <w:tcBorders>
              <w:top w:val="nil"/>
              <w:left w:val="nil"/>
              <w:bottom w:val="single" w:sz="4" w:space="0" w:color="auto"/>
              <w:right w:val="nil"/>
            </w:tcBorders>
            <w:shd w:val="clear" w:color="000000" w:fill="D9D9D9"/>
            <w:noWrap/>
            <w:vAlign w:val="center"/>
            <w:hideMark/>
          </w:tcPr>
          <w:p w14:paraId="56D76471" w14:textId="77777777" w:rsidR="00D23F39" w:rsidRDefault="00D23F39">
            <w:pPr>
              <w:jc w:val="right"/>
              <w:rPr>
                <w:rFonts w:ascii="Arial Narrow" w:hAnsi="Arial Narrow" w:cs="Calibri"/>
                <w:color w:val="000000"/>
                <w:sz w:val="18"/>
                <w:szCs w:val="18"/>
              </w:rPr>
            </w:pPr>
            <w:r>
              <w:rPr>
                <w:rFonts w:ascii="Arial Narrow" w:hAnsi="Arial Narrow" w:cs="Calibri"/>
                <w:color w:val="000000"/>
                <w:sz w:val="18"/>
                <w:szCs w:val="18"/>
              </w:rPr>
              <w:t>97,0</w:t>
            </w:r>
          </w:p>
        </w:tc>
      </w:tr>
      <w:tr w:rsidR="00D23F39" w14:paraId="123E033D" w14:textId="77777777" w:rsidTr="00D23F39">
        <w:trPr>
          <w:trHeight w:val="300"/>
        </w:trPr>
        <w:tc>
          <w:tcPr>
            <w:tcW w:w="1820" w:type="dxa"/>
            <w:tcBorders>
              <w:top w:val="single" w:sz="4" w:space="0" w:color="auto"/>
              <w:left w:val="nil"/>
              <w:bottom w:val="single" w:sz="4" w:space="0" w:color="auto"/>
              <w:right w:val="nil"/>
            </w:tcBorders>
            <w:shd w:val="clear" w:color="000000" w:fill="C9321F"/>
            <w:noWrap/>
            <w:vAlign w:val="center"/>
            <w:hideMark/>
          </w:tcPr>
          <w:p w14:paraId="32CA0FAC" w14:textId="77777777" w:rsidR="00D23F39" w:rsidRDefault="00D23F39">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1400" w:type="dxa"/>
            <w:tcBorders>
              <w:top w:val="single" w:sz="4" w:space="0" w:color="auto"/>
              <w:left w:val="nil"/>
              <w:bottom w:val="single" w:sz="4" w:space="0" w:color="auto"/>
              <w:right w:val="nil"/>
            </w:tcBorders>
            <w:shd w:val="clear" w:color="000000" w:fill="C9321F"/>
            <w:noWrap/>
            <w:vAlign w:val="center"/>
            <w:hideMark/>
          </w:tcPr>
          <w:p w14:paraId="0CC7FAE6"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22.011</w:t>
            </w:r>
          </w:p>
        </w:tc>
        <w:tc>
          <w:tcPr>
            <w:tcW w:w="1760" w:type="dxa"/>
            <w:tcBorders>
              <w:top w:val="single" w:sz="4" w:space="0" w:color="auto"/>
              <w:left w:val="nil"/>
              <w:bottom w:val="single" w:sz="4" w:space="0" w:color="auto"/>
              <w:right w:val="nil"/>
            </w:tcBorders>
            <w:shd w:val="clear" w:color="000000" w:fill="C9321F"/>
            <w:noWrap/>
            <w:vAlign w:val="center"/>
            <w:hideMark/>
          </w:tcPr>
          <w:p w14:paraId="6EF112FB"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-2,5</w:t>
            </w:r>
          </w:p>
        </w:tc>
        <w:tc>
          <w:tcPr>
            <w:tcW w:w="1540" w:type="dxa"/>
            <w:tcBorders>
              <w:top w:val="single" w:sz="4" w:space="0" w:color="auto"/>
              <w:left w:val="nil"/>
              <w:bottom w:val="single" w:sz="4" w:space="0" w:color="auto"/>
              <w:right w:val="nil"/>
            </w:tcBorders>
            <w:shd w:val="clear" w:color="000000" w:fill="C9321F"/>
            <w:noWrap/>
            <w:vAlign w:val="center"/>
            <w:hideMark/>
          </w:tcPr>
          <w:p w14:paraId="317227B0"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4,0</w:t>
            </w:r>
          </w:p>
        </w:tc>
        <w:tc>
          <w:tcPr>
            <w:tcW w:w="1540" w:type="dxa"/>
            <w:tcBorders>
              <w:top w:val="single" w:sz="4" w:space="0" w:color="auto"/>
              <w:left w:val="nil"/>
              <w:bottom w:val="single" w:sz="4" w:space="0" w:color="auto"/>
              <w:right w:val="nil"/>
            </w:tcBorders>
            <w:shd w:val="clear" w:color="000000" w:fill="C9321F"/>
            <w:noWrap/>
            <w:vAlign w:val="center"/>
            <w:hideMark/>
          </w:tcPr>
          <w:p w14:paraId="03695233"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33,6</w:t>
            </w:r>
          </w:p>
        </w:tc>
        <w:tc>
          <w:tcPr>
            <w:tcW w:w="1540" w:type="dxa"/>
            <w:tcBorders>
              <w:top w:val="single" w:sz="4" w:space="0" w:color="auto"/>
              <w:left w:val="nil"/>
              <w:bottom w:val="single" w:sz="4" w:space="0" w:color="auto"/>
              <w:right w:val="nil"/>
            </w:tcBorders>
            <w:shd w:val="clear" w:color="000000" w:fill="C9321F"/>
            <w:noWrap/>
            <w:vAlign w:val="center"/>
            <w:hideMark/>
          </w:tcPr>
          <w:p w14:paraId="7A831809"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103,1</w:t>
            </w:r>
          </w:p>
        </w:tc>
      </w:tr>
      <w:tr w:rsidR="00D23F39" w14:paraId="635E5C18" w14:textId="77777777" w:rsidTr="00D23F39">
        <w:trPr>
          <w:trHeight w:val="300"/>
        </w:trPr>
        <w:tc>
          <w:tcPr>
            <w:tcW w:w="1820" w:type="dxa"/>
            <w:tcBorders>
              <w:top w:val="nil"/>
              <w:left w:val="nil"/>
              <w:bottom w:val="single" w:sz="4" w:space="0" w:color="auto"/>
              <w:right w:val="nil"/>
            </w:tcBorders>
            <w:shd w:val="clear" w:color="000000" w:fill="C9321F"/>
            <w:noWrap/>
            <w:vAlign w:val="center"/>
            <w:hideMark/>
          </w:tcPr>
          <w:p w14:paraId="700EF946" w14:textId="77777777" w:rsidR="00D23F39" w:rsidRDefault="00D23F39">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1400" w:type="dxa"/>
            <w:tcBorders>
              <w:top w:val="nil"/>
              <w:left w:val="nil"/>
              <w:bottom w:val="single" w:sz="4" w:space="0" w:color="auto"/>
              <w:right w:val="nil"/>
            </w:tcBorders>
            <w:shd w:val="clear" w:color="000000" w:fill="C9321F"/>
            <w:noWrap/>
            <w:vAlign w:val="center"/>
            <w:hideMark/>
          </w:tcPr>
          <w:p w14:paraId="097DE287"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5.171.894</w:t>
            </w:r>
          </w:p>
        </w:tc>
        <w:tc>
          <w:tcPr>
            <w:tcW w:w="1760" w:type="dxa"/>
            <w:tcBorders>
              <w:top w:val="nil"/>
              <w:left w:val="nil"/>
              <w:bottom w:val="single" w:sz="4" w:space="0" w:color="auto"/>
              <w:right w:val="nil"/>
            </w:tcBorders>
            <w:shd w:val="clear" w:color="000000" w:fill="C9321F"/>
            <w:noWrap/>
            <w:vAlign w:val="center"/>
            <w:hideMark/>
          </w:tcPr>
          <w:p w14:paraId="3D67FE54"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2,6</w:t>
            </w:r>
          </w:p>
        </w:tc>
        <w:tc>
          <w:tcPr>
            <w:tcW w:w="1540" w:type="dxa"/>
            <w:tcBorders>
              <w:top w:val="nil"/>
              <w:left w:val="nil"/>
              <w:bottom w:val="single" w:sz="4" w:space="0" w:color="auto"/>
              <w:right w:val="nil"/>
            </w:tcBorders>
            <w:shd w:val="clear" w:color="000000" w:fill="C9321F"/>
            <w:noWrap/>
            <w:vAlign w:val="center"/>
            <w:hideMark/>
          </w:tcPr>
          <w:p w14:paraId="5994B993"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8,7</w:t>
            </w:r>
          </w:p>
        </w:tc>
        <w:tc>
          <w:tcPr>
            <w:tcW w:w="1540" w:type="dxa"/>
            <w:tcBorders>
              <w:top w:val="nil"/>
              <w:left w:val="nil"/>
              <w:bottom w:val="single" w:sz="4" w:space="0" w:color="auto"/>
              <w:right w:val="nil"/>
            </w:tcBorders>
            <w:shd w:val="clear" w:color="000000" w:fill="C9321F"/>
            <w:noWrap/>
            <w:vAlign w:val="center"/>
            <w:hideMark/>
          </w:tcPr>
          <w:p w14:paraId="39A02D2C"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34,9</w:t>
            </w:r>
          </w:p>
        </w:tc>
        <w:tc>
          <w:tcPr>
            <w:tcW w:w="1540" w:type="dxa"/>
            <w:tcBorders>
              <w:top w:val="nil"/>
              <w:left w:val="nil"/>
              <w:bottom w:val="single" w:sz="4" w:space="0" w:color="auto"/>
              <w:right w:val="nil"/>
            </w:tcBorders>
            <w:shd w:val="clear" w:color="000000" w:fill="C9321F"/>
            <w:noWrap/>
            <w:vAlign w:val="center"/>
            <w:hideMark/>
          </w:tcPr>
          <w:p w14:paraId="50F1B29F" w14:textId="77777777" w:rsidR="00D23F39" w:rsidRDefault="00D23F39">
            <w:pPr>
              <w:jc w:val="right"/>
              <w:rPr>
                <w:rFonts w:ascii="Arial Narrow" w:hAnsi="Arial Narrow" w:cs="Calibri"/>
                <w:b/>
                <w:bCs/>
                <w:color w:val="FFFFFF"/>
                <w:sz w:val="18"/>
                <w:szCs w:val="18"/>
              </w:rPr>
            </w:pPr>
            <w:r>
              <w:rPr>
                <w:rFonts w:ascii="Arial Narrow" w:hAnsi="Arial Narrow" w:cs="Calibri"/>
                <w:b/>
                <w:bCs/>
                <w:color w:val="FFFFFF"/>
                <w:sz w:val="18"/>
                <w:szCs w:val="18"/>
              </w:rPr>
              <w:t>95,4</w:t>
            </w:r>
          </w:p>
        </w:tc>
      </w:tr>
    </w:tbl>
    <w:p w14:paraId="4937151D" w14:textId="292BC755" w:rsidR="00AE59C4" w:rsidRPr="00047761" w:rsidRDefault="00AE59C4" w:rsidP="00BB0936">
      <w:pPr>
        <w:tabs>
          <w:tab w:val="left" w:pos="567"/>
        </w:tabs>
        <w:spacing w:after="120"/>
        <w:jc w:val="both"/>
        <w:rPr>
          <w:rFonts w:ascii="Trebuchet MS" w:hAnsi="Trebuchet MS" w:cs="Arial"/>
          <w:color w:val="5F5F5F"/>
          <w:sz w:val="18"/>
          <w:szCs w:val="18"/>
        </w:rPr>
      </w:pPr>
    </w:p>
    <w:p w14:paraId="29FCF035" w14:textId="69408387" w:rsidR="005B0778" w:rsidRPr="00570DC8" w:rsidRDefault="000F0AFA" w:rsidP="005B0778">
      <w:pPr>
        <w:tabs>
          <w:tab w:val="left" w:pos="567"/>
        </w:tabs>
        <w:spacing w:after="120"/>
        <w:jc w:val="both"/>
        <w:rPr>
          <w:rFonts w:ascii="Trebuchet MS" w:hAnsi="Trebuchet MS" w:cs="Arial"/>
          <w:color w:val="5F5F5F"/>
          <w:sz w:val="20"/>
          <w:szCs w:val="20"/>
        </w:rPr>
      </w:pPr>
      <w:r w:rsidRPr="00570DC8">
        <w:rPr>
          <w:rFonts w:ascii="Trebuchet MS" w:hAnsi="Trebuchet MS" w:cs="Arial"/>
          <w:color w:val="5F5F5F"/>
          <w:sz w:val="20"/>
          <w:szCs w:val="20"/>
        </w:rPr>
        <w:t>Quattro</w:t>
      </w:r>
      <w:r w:rsidR="00BB0936" w:rsidRPr="00570DC8">
        <w:rPr>
          <w:rFonts w:ascii="Trebuchet MS" w:hAnsi="Trebuchet MS" w:cs="Arial"/>
          <w:color w:val="5F5F5F"/>
          <w:sz w:val="20"/>
          <w:szCs w:val="20"/>
        </w:rPr>
        <w:t xml:space="preserve"> cittadini stranieri ogni </w:t>
      </w:r>
      <w:r w:rsidRPr="00570DC8">
        <w:rPr>
          <w:rFonts w:ascii="Trebuchet MS" w:hAnsi="Trebuchet MS" w:cs="Arial"/>
          <w:color w:val="5F5F5F"/>
          <w:sz w:val="20"/>
          <w:szCs w:val="20"/>
        </w:rPr>
        <w:t>cinque</w:t>
      </w:r>
      <w:r w:rsidR="000F7524" w:rsidRPr="00570DC8">
        <w:rPr>
          <w:rFonts w:ascii="Trebuchet MS" w:hAnsi="Trebuchet MS" w:cs="Arial"/>
          <w:color w:val="5F5F5F"/>
          <w:sz w:val="20"/>
          <w:szCs w:val="20"/>
        </w:rPr>
        <w:t xml:space="preserve"> hanno meno di 50 anni e due su cinque hanno un’età compresa tra 30 e 49 anni; </w:t>
      </w:r>
      <w:r w:rsidRPr="00570DC8">
        <w:rPr>
          <w:rFonts w:ascii="Trebuchet MS" w:hAnsi="Trebuchet MS" w:cs="Arial"/>
          <w:color w:val="5F5F5F"/>
          <w:sz w:val="20"/>
          <w:szCs w:val="20"/>
        </w:rPr>
        <w:t>meno del</w:t>
      </w:r>
      <w:r w:rsidR="000F7524" w:rsidRPr="00570DC8">
        <w:rPr>
          <w:rFonts w:ascii="Trebuchet MS" w:hAnsi="Trebuchet MS" w:cs="Arial"/>
          <w:color w:val="5F5F5F"/>
          <w:sz w:val="20"/>
          <w:szCs w:val="20"/>
        </w:rPr>
        <w:t xml:space="preserve"> </w:t>
      </w:r>
      <w:r w:rsidRPr="00570DC8">
        <w:rPr>
          <w:rFonts w:ascii="Trebuchet MS" w:hAnsi="Trebuchet MS" w:cs="Arial"/>
          <w:color w:val="5F5F5F"/>
          <w:sz w:val="20"/>
          <w:szCs w:val="20"/>
        </w:rPr>
        <w:t>2</w:t>
      </w:r>
      <w:r w:rsidR="000F7524" w:rsidRPr="00570DC8">
        <w:rPr>
          <w:rFonts w:ascii="Trebuchet MS" w:hAnsi="Trebuchet MS" w:cs="Arial"/>
          <w:color w:val="5F5F5F"/>
          <w:sz w:val="20"/>
          <w:szCs w:val="20"/>
        </w:rPr>
        <w:t xml:space="preserve">% </w:t>
      </w:r>
      <w:r w:rsidR="00394AA4" w:rsidRPr="00570DC8">
        <w:rPr>
          <w:rFonts w:ascii="Trebuchet MS" w:hAnsi="Trebuchet MS" w:cs="Arial"/>
          <w:color w:val="5F5F5F"/>
          <w:sz w:val="20"/>
          <w:szCs w:val="20"/>
        </w:rPr>
        <w:t xml:space="preserve">ha più di </w:t>
      </w:r>
      <w:r w:rsidR="00DC168F" w:rsidRPr="00570DC8">
        <w:rPr>
          <w:rFonts w:ascii="Trebuchet MS" w:hAnsi="Trebuchet MS" w:cs="Arial"/>
          <w:color w:val="5F5F5F"/>
          <w:sz w:val="20"/>
          <w:szCs w:val="20"/>
        </w:rPr>
        <w:t>70</w:t>
      </w:r>
      <w:r w:rsidR="00394AA4" w:rsidRPr="00570DC8">
        <w:rPr>
          <w:rFonts w:ascii="Trebuchet MS" w:hAnsi="Trebuchet MS" w:cs="Arial"/>
          <w:color w:val="5F5F5F"/>
          <w:sz w:val="20"/>
          <w:szCs w:val="20"/>
        </w:rPr>
        <w:t xml:space="preserve"> anni</w:t>
      </w:r>
      <w:r w:rsidR="00BB0936" w:rsidRPr="00570DC8">
        <w:rPr>
          <w:rFonts w:ascii="Trebuchet MS" w:hAnsi="Trebuchet MS" w:cs="Arial"/>
          <w:color w:val="5F5F5F"/>
          <w:sz w:val="20"/>
          <w:szCs w:val="20"/>
        </w:rPr>
        <w:t>. Viceversa,</w:t>
      </w:r>
      <w:r w:rsidRPr="00570DC8">
        <w:rPr>
          <w:rFonts w:ascii="Trebuchet MS" w:hAnsi="Trebuchet MS" w:cs="Arial"/>
          <w:color w:val="5F5F5F"/>
          <w:sz w:val="20"/>
          <w:szCs w:val="20"/>
        </w:rPr>
        <w:t xml:space="preserve"> quasi</w:t>
      </w:r>
      <w:r w:rsidR="00BB0936" w:rsidRPr="00570DC8">
        <w:rPr>
          <w:rFonts w:ascii="Trebuchet MS" w:hAnsi="Trebuchet MS" w:cs="Arial"/>
          <w:color w:val="5F5F5F"/>
          <w:sz w:val="20"/>
          <w:szCs w:val="20"/>
        </w:rPr>
        <w:t xml:space="preserve"> </w:t>
      </w:r>
      <w:r w:rsidR="00DC168F" w:rsidRPr="00570DC8">
        <w:rPr>
          <w:rFonts w:ascii="Trebuchet MS" w:hAnsi="Trebuchet MS" w:cs="Arial"/>
          <w:color w:val="5F5F5F"/>
          <w:sz w:val="20"/>
          <w:szCs w:val="20"/>
        </w:rPr>
        <w:t xml:space="preserve">un cittadino italiano su tre </w:t>
      </w:r>
      <w:r w:rsidR="00BB0936" w:rsidRPr="00570DC8">
        <w:rPr>
          <w:rFonts w:ascii="Trebuchet MS" w:hAnsi="Trebuchet MS" w:cs="Arial"/>
          <w:color w:val="5F5F5F"/>
          <w:sz w:val="20"/>
          <w:szCs w:val="20"/>
        </w:rPr>
        <w:t xml:space="preserve">è presente nelle classi da 40 a 59 anni </w:t>
      </w:r>
      <w:r w:rsidR="00DC168F" w:rsidRPr="00570DC8">
        <w:rPr>
          <w:rFonts w:ascii="Trebuchet MS" w:hAnsi="Trebuchet MS" w:cs="Arial"/>
          <w:color w:val="5F5F5F"/>
          <w:sz w:val="20"/>
          <w:szCs w:val="20"/>
        </w:rPr>
        <w:t xml:space="preserve">e </w:t>
      </w:r>
      <w:r w:rsidR="0024678B" w:rsidRPr="00570DC8">
        <w:rPr>
          <w:rFonts w:ascii="Trebuchet MS" w:hAnsi="Trebuchet MS" w:cs="Arial"/>
          <w:color w:val="5F5F5F"/>
          <w:sz w:val="20"/>
          <w:szCs w:val="20"/>
        </w:rPr>
        <w:t xml:space="preserve">quasi </w:t>
      </w:r>
      <w:r w:rsidR="00DC168F" w:rsidRPr="00570DC8">
        <w:rPr>
          <w:rFonts w:ascii="Trebuchet MS" w:hAnsi="Trebuchet MS" w:cs="Arial"/>
          <w:color w:val="5F5F5F"/>
          <w:sz w:val="20"/>
          <w:szCs w:val="20"/>
        </w:rPr>
        <w:t>uno su quattro ha tra 60 e 79 anni. La distribuzione per età della popolazione è simile solo nel</w:t>
      </w:r>
      <w:r w:rsidR="00BB0936" w:rsidRPr="00570DC8">
        <w:rPr>
          <w:rFonts w:ascii="Trebuchet MS" w:hAnsi="Trebuchet MS" w:cs="Arial"/>
          <w:color w:val="5F5F5F"/>
          <w:sz w:val="20"/>
          <w:szCs w:val="20"/>
        </w:rPr>
        <w:t>la classe 10-19 anni</w:t>
      </w:r>
      <w:r w:rsidR="00DC168F" w:rsidRPr="00570DC8">
        <w:rPr>
          <w:rFonts w:ascii="Trebuchet MS" w:hAnsi="Trebuchet MS" w:cs="Arial"/>
          <w:color w:val="5F5F5F"/>
          <w:sz w:val="20"/>
          <w:szCs w:val="20"/>
        </w:rPr>
        <w:t xml:space="preserve">: </w:t>
      </w:r>
      <w:r w:rsidR="00BB0936" w:rsidRPr="00570DC8">
        <w:rPr>
          <w:rFonts w:ascii="Trebuchet MS" w:hAnsi="Trebuchet MS" w:cs="Arial"/>
          <w:color w:val="5F5F5F"/>
          <w:sz w:val="20"/>
          <w:szCs w:val="20"/>
        </w:rPr>
        <w:t>9,6% per i cittadini stranieri, 9</w:t>
      </w:r>
      <w:r w:rsidR="0024678B" w:rsidRPr="00570DC8">
        <w:rPr>
          <w:rFonts w:ascii="Trebuchet MS" w:hAnsi="Trebuchet MS" w:cs="Arial"/>
          <w:color w:val="5F5F5F"/>
          <w:sz w:val="20"/>
          <w:szCs w:val="20"/>
        </w:rPr>
        <w:t>,2</w:t>
      </w:r>
      <w:r w:rsidR="00BB0936" w:rsidRPr="00570DC8">
        <w:rPr>
          <w:rFonts w:ascii="Trebuchet MS" w:hAnsi="Trebuchet MS" w:cs="Arial"/>
          <w:color w:val="5F5F5F"/>
          <w:sz w:val="20"/>
          <w:szCs w:val="20"/>
        </w:rPr>
        <w:t>% per i cittadini italiani</w:t>
      </w:r>
      <w:r w:rsidR="002C7038">
        <w:rPr>
          <w:rFonts w:ascii="Trebuchet MS" w:hAnsi="Trebuchet MS" w:cs="Arial"/>
          <w:color w:val="5F5F5F"/>
          <w:sz w:val="20"/>
          <w:szCs w:val="20"/>
        </w:rPr>
        <w:t xml:space="preserve"> (Figura 2)</w:t>
      </w:r>
      <w:r w:rsidR="00BB0936" w:rsidRPr="00570DC8">
        <w:rPr>
          <w:rFonts w:ascii="Trebuchet MS" w:hAnsi="Trebuchet MS" w:cs="Arial"/>
          <w:color w:val="5F5F5F"/>
          <w:sz w:val="20"/>
          <w:szCs w:val="20"/>
        </w:rPr>
        <w:t>.</w:t>
      </w:r>
      <w:r w:rsidR="005B0778" w:rsidRPr="00570DC8">
        <w:rPr>
          <w:rFonts w:ascii="Trebuchet MS" w:hAnsi="Trebuchet MS" w:cs="Arial"/>
          <w:color w:val="5F5F5F"/>
          <w:sz w:val="20"/>
          <w:szCs w:val="20"/>
        </w:rPr>
        <w:t xml:space="preserve"> </w:t>
      </w:r>
    </w:p>
    <w:p w14:paraId="50FECC0B" w14:textId="37CAD94B" w:rsidR="005B0778" w:rsidRPr="00570DC8" w:rsidRDefault="005B0778" w:rsidP="005B0778">
      <w:pPr>
        <w:tabs>
          <w:tab w:val="left" w:pos="567"/>
        </w:tabs>
        <w:spacing w:after="120"/>
        <w:jc w:val="both"/>
        <w:rPr>
          <w:rFonts w:ascii="Trebuchet MS" w:hAnsi="Trebuchet MS" w:cs="Arial"/>
          <w:color w:val="5F5F5F"/>
          <w:sz w:val="20"/>
          <w:szCs w:val="20"/>
        </w:rPr>
      </w:pPr>
      <w:r w:rsidRPr="00570DC8">
        <w:rPr>
          <w:rFonts w:ascii="Trebuchet MS" w:hAnsi="Trebuchet MS" w:cs="Arial"/>
          <w:color w:val="5F5F5F"/>
          <w:sz w:val="20"/>
          <w:szCs w:val="20"/>
        </w:rPr>
        <w:t xml:space="preserve">Questa asimmetria si riflette </w:t>
      </w:r>
      <w:r w:rsidR="000065BB">
        <w:rPr>
          <w:rFonts w:ascii="Trebuchet MS" w:hAnsi="Trebuchet MS" w:cs="Arial"/>
          <w:color w:val="5F5F5F"/>
          <w:sz w:val="20"/>
          <w:szCs w:val="20"/>
        </w:rPr>
        <w:t>su</w:t>
      </w:r>
      <w:r w:rsidR="000065BB" w:rsidRPr="00570DC8">
        <w:rPr>
          <w:rFonts w:ascii="Trebuchet MS" w:hAnsi="Trebuchet MS" w:cs="Arial"/>
          <w:color w:val="5F5F5F"/>
          <w:sz w:val="20"/>
          <w:szCs w:val="20"/>
        </w:rPr>
        <w:t xml:space="preserve">gli </w:t>
      </w:r>
      <w:r w:rsidRPr="00570DC8">
        <w:rPr>
          <w:rFonts w:ascii="Trebuchet MS" w:hAnsi="Trebuchet MS" w:cs="Arial"/>
          <w:color w:val="5F5F5F"/>
          <w:sz w:val="20"/>
          <w:szCs w:val="20"/>
        </w:rPr>
        <w:t>indicatori demografici di struttura</w:t>
      </w:r>
      <w:r w:rsidR="003A0F52">
        <w:rPr>
          <w:rFonts w:ascii="Trebuchet MS" w:hAnsi="Trebuchet MS" w:cs="Arial"/>
          <w:color w:val="5F5F5F"/>
          <w:sz w:val="20"/>
          <w:szCs w:val="20"/>
        </w:rPr>
        <w:t>.</w:t>
      </w:r>
      <w:r w:rsidRPr="00570DC8">
        <w:rPr>
          <w:rFonts w:ascii="Trebuchet MS" w:hAnsi="Trebuchet MS" w:cs="Arial"/>
          <w:color w:val="5F5F5F"/>
          <w:sz w:val="20"/>
          <w:szCs w:val="20"/>
        </w:rPr>
        <w:t xml:space="preserve"> </w:t>
      </w:r>
      <w:r w:rsidR="003A0F52">
        <w:rPr>
          <w:rFonts w:ascii="Trebuchet MS" w:hAnsi="Trebuchet MS" w:cs="Arial"/>
          <w:color w:val="5F5F5F"/>
          <w:sz w:val="20"/>
          <w:szCs w:val="20"/>
        </w:rPr>
        <w:t>N</w:t>
      </w:r>
      <w:r w:rsidRPr="00570DC8">
        <w:rPr>
          <w:rFonts w:ascii="Trebuchet MS" w:hAnsi="Trebuchet MS" w:cs="Arial"/>
          <w:color w:val="5F5F5F"/>
          <w:sz w:val="20"/>
          <w:szCs w:val="20"/>
        </w:rPr>
        <w:t>ella popolazione straniera si osservano valori decisamente più bassi dell’indice di dipendenza (2</w:t>
      </w:r>
      <w:r w:rsidR="0024678B" w:rsidRPr="00570DC8">
        <w:rPr>
          <w:rFonts w:ascii="Trebuchet MS" w:hAnsi="Trebuchet MS" w:cs="Arial"/>
          <w:color w:val="5F5F5F"/>
          <w:sz w:val="20"/>
          <w:szCs w:val="20"/>
        </w:rPr>
        <w:t>3</w:t>
      </w:r>
      <w:r w:rsidRPr="00570DC8">
        <w:rPr>
          <w:rFonts w:ascii="Trebuchet MS" w:hAnsi="Trebuchet MS" w:cs="Arial"/>
          <w:color w:val="5F5F5F"/>
          <w:sz w:val="20"/>
          <w:szCs w:val="20"/>
        </w:rPr>
        <w:t>,</w:t>
      </w:r>
      <w:r w:rsidR="0024678B" w:rsidRPr="00570DC8">
        <w:rPr>
          <w:rFonts w:ascii="Trebuchet MS" w:hAnsi="Trebuchet MS" w:cs="Arial"/>
          <w:color w:val="5F5F5F"/>
          <w:sz w:val="20"/>
          <w:szCs w:val="20"/>
        </w:rPr>
        <w:t>2</w:t>
      </w:r>
      <w:r w:rsidRPr="00570DC8">
        <w:rPr>
          <w:rFonts w:ascii="Trebuchet MS" w:hAnsi="Trebuchet MS" w:cs="Arial"/>
          <w:color w:val="5F5F5F"/>
          <w:sz w:val="20"/>
          <w:szCs w:val="20"/>
        </w:rPr>
        <w:t xml:space="preserve"> per la componente straniera e </w:t>
      </w:r>
      <w:r w:rsidR="0024678B" w:rsidRPr="00570DC8">
        <w:rPr>
          <w:rFonts w:ascii="Trebuchet MS" w:hAnsi="Trebuchet MS" w:cs="Arial"/>
          <w:color w:val="5F5F5F"/>
          <w:sz w:val="20"/>
          <w:szCs w:val="20"/>
        </w:rPr>
        <w:t>57,3</w:t>
      </w:r>
      <w:r w:rsidRPr="00570DC8">
        <w:rPr>
          <w:rFonts w:ascii="Trebuchet MS" w:hAnsi="Trebuchet MS" w:cs="Arial"/>
          <w:color w:val="5F5F5F"/>
          <w:sz w:val="20"/>
          <w:szCs w:val="20"/>
        </w:rPr>
        <w:t xml:space="preserve"> per </w:t>
      </w:r>
      <w:r w:rsidR="00FF54A8" w:rsidRPr="00570DC8">
        <w:rPr>
          <w:rFonts w:ascii="Trebuchet MS" w:hAnsi="Trebuchet MS" w:cs="Arial"/>
          <w:color w:val="5F5F5F"/>
          <w:sz w:val="20"/>
          <w:szCs w:val="20"/>
        </w:rPr>
        <w:t>quella</w:t>
      </w:r>
      <w:r w:rsidRPr="00570DC8">
        <w:rPr>
          <w:rFonts w:ascii="Trebuchet MS" w:hAnsi="Trebuchet MS" w:cs="Arial"/>
          <w:color w:val="5F5F5F"/>
          <w:sz w:val="20"/>
          <w:szCs w:val="20"/>
        </w:rPr>
        <w:t xml:space="preserve"> italiana) e dell’indice di vecchiaia (</w:t>
      </w:r>
      <w:r w:rsidR="0024678B" w:rsidRPr="00570DC8">
        <w:rPr>
          <w:rFonts w:ascii="Trebuchet MS" w:hAnsi="Trebuchet MS" w:cs="Arial"/>
          <w:color w:val="5F5F5F"/>
          <w:sz w:val="20"/>
          <w:szCs w:val="20"/>
        </w:rPr>
        <w:t>21</w:t>
      </w:r>
      <w:r w:rsidRPr="00570DC8">
        <w:rPr>
          <w:rFonts w:ascii="Trebuchet MS" w:hAnsi="Trebuchet MS" w:cs="Arial"/>
          <w:color w:val="5F5F5F"/>
          <w:sz w:val="20"/>
          <w:szCs w:val="20"/>
        </w:rPr>
        <w:t>,</w:t>
      </w:r>
      <w:r w:rsidR="0024678B" w:rsidRPr="00570DC8">
        <w:rPr>
          <w:rFonts w:ascii="Trebuchet MS" w:hAnsi="Trebuchet MS" w:cs="Arial"/>
          <w:color w:val="5F5F5F"/>
          <w:sz w:val="20"/>
          <w:szCs w:val="20"/>
        </w:rPr>
        <w:t>6</w:t>
      </w:r>
      <w:r w:rsidRPr="00570DC8">
        <w:rPr>
          <w:rFonts w:ascii="Trebuchet MS" w:hAnsi="Trebuchet MS" w:cs="Arial"/>
          <w:color w:val="5F5F5F"/>
          <w:sz w:val="20"/>
          <w:szCs w:val="20"/>
        </w:rPr>
        <w:t xml:space="preserve"> contro 2</w:t>
      </w:r>
      <w:r w:rsidR="0024678B" w:rsidRPr="00570DC8">
        <w:rPr>
          <w:rFonts w:ascii="Trebuchet MS" w:hAnsi="Trebuchet MS" w:cs="Arial"/>
          <w:color w:val="5F5F5F"/>
          <w:sz w:val="20"/>
          <w:szCs w:val="20"/>
        </w:rPr>
        <w:t>17</w:t>
      </w:r>
      <w:r w:rsidRPr="00570DC8">
        <w:rPr>
          <w:rFonts w:ascii="Trebuchet MS" w:hAnsi="Trebuchet MS" w:cs="Arial"/>
          <w:color w:val="5F5F5F"/>
          <w:sz w:val="20"/>
          <w:szCs w:val="20"/>
        </w:rPr>
        <w:t>,</w:t>
      </w:r>
      <w:r w:rsidR="0024678B" w:rsidRPr="00570DC8">
        <w:rPr>
          <w:rFonts w:ascii="Trebuchet MS" w:hAnsi="Trebuchet MS" w:cs="Arial"/>
          <w:color w:val="5F5F5F"/>
          <w:sz w:val="20"/>
          <w:szCs w:val="20"/>
        </w:rPr>
        <w:t>1</w:t>
      </w:r>
      <w:r w:rsidRPr="00570DC8">
        <w:rPr>
          <w:rFonts w:ascii="Trebuchet MS" w:hAnsi="Trebuchet MS" w:cs="Arial"/>
          <w:color w:val="5F5F5F"/>
          <w:sz w:val="20"/>
          <w:szCs w:val="20"/>
        </w:rPr>
        <w:t>) mentre i bambini da 0 a 4 anni sono il 5,</w:t>
      </w:r>
      <w:r w:rsidR="00EA37F6" w:rsidRPr="00570DC8">
        <w:rPr>
          <w:rFonts w:ascii="Trebuchet MS" w:hAnsi="Trebuchet MS" w:cs="Arial"/>
          <w:color w:val="5F5F5F"/>
          <w:sz w:val="20"/>
          <w:szCs w:val="20"/>
        </w:rPr>
        <w:t>9</w:t>
      </w:r>
      <w:r w:rsidRPr="00570DC8">
        <w:rPr>
          <w:rFonts w:ascii="Trebuchet MS" w:hAnsi="Trebuchet MS" w:cs="Arial"/>
          <w:color w:val="5F5F5F"/>
          <w:sz w:val="20"/>
          <w:szCs w:val="20"/>
        </w:rPr>
        <w:t>% del totale (3,</w:t>
      </w:r>
      <w:r w:rsidR="00EA37F6" w:rsidRPr="00570DC8">
        <w:rPr>
          <w:rFonts w:ascii="Trebuchet MS" w:hAnsi="Trebuchet MS" w:cs="Arial"/>
          <w:color w:val="5F5F5F"/>
          <w:sz w:val="20"/>
          <w:szCs w:val="20"/>
        </w:rPr>
        <w:t>3</w:t>
      </w:r>
      <w:r w:rsidRPr="00570DC8">
        <w:rPr>
          <w:rFonts w:ascii="Trebuchet MS" w:hAnsi="Trebuchet MS" w:cs="Arial"/>
          <w:color w:val="5F5F5F"/>
          <w:sz w:val="20"/>
          <w:szCs w:val="20"/>
        </w:rPr>
        <w:t>% per la popolazione italiana)</w:t>
      </w:r>
      <w:r w:rsidR="002C7038">
        <w:rPr>
          <w:rFonts w:ascii="Trebuchet MS" w:hAnsi="Trebuchet MS" w:cs="Arial"/>
          <w:color w:val="5F5F5F"/>
          <w:sz w:val="20"/>
          <w:szCs w:val="20"/>
        </w:rPr>
        <w:t xml:space="preserve"> (Prospetto 8)</w:t>
      </w:r>
      <w:r w:rsidRPr="00570DC8">
        <w:rPr>
          <w:rFonts w:ascii="Trebuchet MS" w:hAnsi="Trebuchet MS" w:cs="Arial"/>
          <w:color w:val="5F5F5F"/>
          <w:sz w:val="20"/>
          <w:szCs w:val="20"/>
        </w:rPr>
        <w:t>.</w:t>
      </w:r>
    </w:p>
    <w:p w14:paraId="59E69FE1" w14:textId="798641B4" w:rsidR="005B0778" w:rsidRDefault="00EA37F6" w:rsidP="005B0778">
      <w:pPr>
        <w:tabs>
          <w:tab w:val="left" w:pos="567"/>
        </w:tabs>
        <w:spacing w:after="120"/>
        <w:jc w:val="both"/>
        <w:rPr>
          <w:rFonts w:ascii="Trebuchet MS" w:hAnsi="Trebuchet MS" w:cs="Arial"/>
          <w:color w:val="5F5F5F"/>
          <w:sz w:val="20"/>
          <w:szCs w:val="20"/>
        </w:rPr>
      </w:pPr>
      <w:r w:rsidRPr="00570DC8">
        <w:rPr>
          <w:rFonts w:ascii="Trebuchet MS" w:hAnsi="Trebuchet MS" w:cs="Arial"/>
          <w:color w:val="5F5F5F"/>
          <w:sz w:val="20"/>
          <w:szCs w:val="20"/>
        </w:rPr>
        <w:t>Matera è</w:t>
      </w:r>
      <w:r w:rsidR="005B0778" w:rsidRPr="00570DC8">
        <w:rPr>
          <w:rFonts w:ascii="Trebuchet MS" w:hAnsi="Trebuchet MS" w:cs="Arial"/>
          <w:color w:val="5F5F5F"/>
          <w:sz w:val="20"/>
          <w:szCs w:val="20"/>
        </w:rPr>
        <w:t xml:space="preserve"> l</w:t>
      </w:r>
      <w:r w:rsidRPr="00570DC8">
        <w:rPr>
          <w:rFonts w:ascii="Trebuchet MS" w:hAnsi="Trebuchet MS" w:cs="Arial"/>
          <w:color w:val="5F5F5F"/>
          <w:sz w:val="20"/>
          <w:szCs w:val="20"/>
        </w:rPr>
        <w:t>a</w:t>
      </w:r>
      <w:r w:rsidR="005B0778" w:rsidRPr="00570DC8">
        <w:rPr>
          <w:rFonts w:ascii="Trebuchet MS" w:hAnsi="Trebuchet MS" w:cs="Arial"/>
          <w:color w:val="5F5F5F"/>
          <w:sz w:val="20"/>
          <w:szCs w:val="20"/>
        </w:rPr>
        <w:t xml:space="preserve"> provinc</w:t>
      </w:r>
      <w:r w:rsidRPr="00570DC8">
        <w:rPr>
          <w:rFonts w:ascii="Trebuchet MS" w:hAnsi="Trebuchet MS" w:cs="Arial"/>
          <w:color w:val="5F5F5F"/>
          <w:sz w:val="20"/>
          <w:szCs w:val="20"/>
        </w:rPr>
        <w:t>ia</w:t>
      </w:r>
      <w:r w:rsidR="005B0778" w:rsidRPr="00570DC8">
        <w:rPr>
          <w:rFonts w:ascii="Trebuchet MS" w:hAnsi="Trebuchet MS" w:cs="Arial"/>
          <w:color w:val="5F5F5F"/>
          <w:sz w:val="20"/>
          <w:szCs w:val="20"/>
        </w:rPr>
        <w:t xml:space="preserve"> con l’indice di dipendenza della popolazione straniera (rapporto tra popolazione in età non attiva e popolazione in età attiva) più alto, </w:t>
      </w:r>
      <w:r w:rsidRPr="00570DC8">
        <w:rPr>
          <w:rFonts w:ascii="Trebuchet MS" w:hAnsi="Trebuchet MS" w:cs="Arial"/>
          <w:color w:val="5F5F5F"/>
          <w:sz w:val="20"/>
          <w:szCs w:val="20"/>
        </w:rPr>
        <w:t>24,8</w:t>
      </w:r>
      <w:r w:rsidR="005B0778" w:rsidRPr="00570DC8">
        <w:rPr>
          <w:rFonts w:ascii="Trebuchet MS" w:hAnsi="Trebuchet MS" w:cs="Arial"/>
          <w:color w:val="5F5F5F"/>
          <w:sz w:val="20"/>
          <w:szCs w:val="20"/>
        </w:rPr>
        <w:t xml:space="preserve">. L’indice di vecchiaia più alto si registra invece a </w:t>
      </w:r>
      <w:r w:rsidRPr="00570DC8">
        <w:rPr>
          <w:rFonts w:ascii="Trebuchet MS" w:hAnsi="Trebuchet MS" w:cs="Arial"/>
          <w:color w:val="5F5F5F"/>
          <w:sz w:val="20"/>
          <w:szCs w:val="20"/>
        </w:rPr>
        <w:t>Potenza</w:t>
      </w:r>
      <w:r w:rsidR="005B0778" w:rsidRPr="00570DC8">
        <w:rPr>
          <w:rFonts w:ascii="Trebuchet MS" w:hAnsi="Trebuchet MS" w:cs="Arial"/>
          <w:color w:val="5F5F5F"/>
          <w:sz w:val="20"/>
          <w:szCs w:val="20"/>
        </w:rPr>
        <w:t xml:space="preserve"> (</w:t>
      </w:r>
      <w:r w:rsidRPr="00570DC8">
        <w:rPr>
          <w:rFonts w:ascii="Trebuchet MS" w:hAnsi="Trebuchet MS" w:cs="Arial"/>
          <w:color w:val="5F5F5F"/>
          <w:sz w:val="20"/>
          <w:szCs w:val="20"/>
        </w:rPr>
        <w:t>25</w:t>
      </w:r>
      <w:r w:rsidR="005B0778" w:rsidRPr="00570DC8">
        <w:rPr>
          <w:rFonts w:ascii="Trebuchet MS" w:hAnsi="Trebuchet MS" w:cs="Arial"/>
          <w:color w:val="5F5F5F"/>
          <w:sz w:val="20"/>
          <w:szCs w:val="20"/>
        </w:rPr>
        <w:t>,3).</w:t>
      </w:r>
      <w:r w:rsidR="005B0778">
        <w:rPr>
          <w:rFonts w:ascii="Trebuchet MS" w:hAnsi="Trebuchet MS" w:cs="Arial"/>
          <w:color w:val="5F5F5F"/>
          <w:sz w:val="20"/>
          <w:szCs w:val="20"/>
        </w:rPr>
        <w:t xml:space="preserve"> </w:t>
      </w:r>
    </w:p>
    <w:p w14:paraId="2FC93263" w14:textId="7F906B6D" w:rsidR="00D26C74" w:rsidRDefault="00D26C74" w:rsidP="004579DE">
      <w:pPr>
        <w:tabs>
          <w:tab w:val="left" w:pos="567"/>
        </w:tabs>
        <w:spacing w:after="120"/>
        <w:jc w:val="both"/>
        <w:rPr>
          <w:rFonts w:ascii="Trebuchet MS" w:hAnsi="Trebuchet MS" w:cs="Arial"/>
          <w:color w:val="5F5F5F"/>
          <w:sz w:val="20"/>
          <w:szCs w:val="20"/>
        </w:rPr>
      </w:pPr>
    </w:p>
    <w:tbl>
      <w:tblPr>
        <w:tblStyle w:val="Grigliatabella"/>
        <w:tblW w:w="0" w:type="auto"/>
        <w:tblBorders>
          <w:top w:val="none" w:sz="0" w:space="0" w:color="auto"/>
        </w:tblBorders>
        <w:tblLook w:val="04A0" w:firstRow="1" w:lastRow="0" w:firstColumn="1" w:lastColumn="0" w:noHBand="0" w:noVBand="1"/>
      </w:tblPr>
      <w:tblGrid>
        <w:gridCol w:w="5130"/>
        <w:gridCol w:w="4508"/>
      </w:tblGrid>
      <w:tr w:rsidR="001F7162" w14:paraId="18464688" w14:textId="77777777" w:rsidTr="000307C0">
        <w:tc>
          <w:tcPr>
            <w:tcW w:w="4814" w:type="dxa"/>
            <w:tcBorders>
              <w:top w:val="nil"/>
              <w:left w:val="nil"/>
              <w:bottom w:val="single" w:sz="4" w:space="0" w:color="D9D9D9" w:themeColor="background1" w:themeShade="D9"/>
              <w:right w:val="nil"/>
            </w:tcBorders>
          </w:tcPr>
          <w:p w14:paraId="1D6EA872" w14:textId="77777777" w:rsidR="000307C0" w:rsidRDefault="001F7162" w:rsidP="00F13D9F">
            <w:pPr>
              <w:ind w:left="-105"/>
              <w:rPr>
                <w:rFonts w:ascii="Arial Narrow" w:hAnsi="Arial Narrow"/>
                <w:color w:val="595959"/>
                <w:sz w:val="22"/>
                <w:szCs w:val="22"/>
              </w:rPr>
            </w:pPr>
            <w:r>
              <w:rPr>
                <w:rFonts w:ascii="Arial Narrow" w:hAnsi="Arial Narrow"/>
                <w:b/>
                <w:bCs/>
                <w:color w:val="595959"/>
                <w:sz w:val="22"/>
                <w:szCs w:val="22"/>
              </w:rPr>
              <w:t xml:space="preserve">FIGURA 2. </w:t>
            </w:r>
            <w:r>
              <w:rPr>
                <w:rFonts w:ascii="Arial Narrow" w:hAnsi="Arial Narrow"/>
                <w:color w:val="595959"/>
                <w:sz w:val="22"/>
                <w:szCs w:val="22"/>
              </w:rPr>
              <w:t xml:space="preserve">PIRAMIDE DELLE ETÀ DELLA POPOLAZIONE ITALIANA E STRANIERA. </w:t>
            </w:r>
          </w:p>
          <w:p w14:paraId="491DB2B7" w14:textId="14124F08" w:rsidR="001F7162" w:rsidRPr="000307C0" w:rsidRDefault="001F7162" w:rsidP="00F13D9F">
            <w:pPr>
              <w:ind w:left="-105"/>
              <w:rPr>
                <w:rFonts w:ascii="Arial Narrow" w:hAnsi="Arial Narrow"/>
                <w:color w:val="595959"/>
                <w:sz w:val="22"/>
                <w:szCs w:val="22"/>
              </w:rPr>
            </w:pPr>
            <w:r>
              <w:rPr>
                <w:rFonts w:ascii="Arial Narrow" w:hAnsi="Arial Narrow"/>
                <w:color w:val="595959"/>
                <w:sz w:val="22"/>
                <w:szCs w:val="22"/>
              </w:rPr>
              <w:t>Censimento 2020</w:t>
            </w:r>
          </w:p>
        </w:tc>
        <w:tc>
          <w:tcPr>
            <w:tcW w:w="4814" w:type="dxa"/>
            <w:tcBorders>
              <w:top w:val="nil"/>
              <w:left w:val="nil"/>
              <w:bottom w:val="single" w:sz="4" w:space="0" w:color="D9D9D9" w:themeColor="background1" w:themeShade="D9"/>
              <w:right w:val="nil"/>
            </w:tcBorders>
          </w:tcPr>
          <w:p w14:paraId="1F300FD3" w14:textId="77777777" w:rsidR="000307C0" w:rsidRDefault="000307C0" w:rsidP="000307C0">
            <w:pPr>
              <w:jc w:val="both"/>
              <w:rPr>
                <w:rFonts w:ascii="Arial Narrow" w:hAnsi="Arial Narrow"/>
                <w:color w:val="595959"/>
                <w:sz w:val="22"/>
                <w:szCs w:val="22"/>
              </w:rPr>
            </w:pPr>
            <w:r>
              <w:rPr>
                <w:rFonts w:ascii="Arial Narrow" w:hAnsi="Arial Narrow"/>
                <w:b/>
                <w:bCs/>
                <w:color w:val="595959"/>
                <w:sz w:val="22"/>
                <w:szCs w:val="22"/>
              </w:rPr>
              <w:t>PROSPETTO 8.</w:t>
            </w:r>
            <w:r>
              <w:rPr>
                <w:rFonts w:ascii="Arial Narrow" w:hAnsi="Arial Narrow"/>
                <w:b/>
                <w:bCs/>
                <w:color w:val="A6A6A6"/>
                <w:sz w:val="20"/>
                <w:szCs w:val="20"/>
              </w:rPr>
              <w:t xml:space="preserve"> </w:t>
            </w:r>
            <w:r w:rsidRPr="0049735D">
              <w:rPr>
                <w:rFonts w:ascii="Arial Narrow" w:hAnsi="Arial Narrow"/>
                <w:color w:val="595959"/>
                <w:sz w:val="22"/>
                <w:szCs w:val="22"/>
              </w:rPr>
              <w:t>POPOLAZIONE</w:t>
            </w:r>
            <w:r>
              <w:rPr>
                <w:rFonts w:ascii="Arial Narrow" w:hAnsi="Arial Narrow"/>
                <w:color w:val="595959"/>
                <w:sz w:val="22"/>
                <w:szCs w:val="22"/>
              </w:rPr>
              <w:t xml:space="preserve"> </w:t>
            </w:r>
            <w:r w:rsidRPr="0049735D">
              <w:rPr>
                <w:rFonts w:ascii="Arial Narrow" w:hAnsi="Arial Narrow"/>
                <w:color w:val="595959"/>
                <w:sz w:val="22"/>
                <w:szCs w:val="22"/>
              </w:rPr>
              <w:t xml:space="preserve">STRANIERA E </w:t>
            </w:r>
            <w:r>
              <w:rPr>
                <w:rFonts w:ascii="Arial Narrow" w:hAnsi="Arial Narrow"/>
                <w:color w:val="595959"/>
                <w:sz w:val="22"/>
                <w:szCs w:val="22"/>
              </w:rPr>
              <w:t xml:space="preserve">    </w:t>
            </w:r>
            <w:r w:rsidRPr="0049735D">
              <w:rPr>
                <w:rFonts w:ascii="Arial Narrow" w:hAnsi="Arial Narrow"/>
                <w:color w:val="595959"/>
                <w:sz w:val="22"/>
                <w:szCs w:val="22"/>
              </w:rPr>
              <w:t>ITALIANA</w:t>
            </w:r>
            <w:r>
              <w:rPr>
                <w:rFonts w:ascii="Arial Narrow" w:hAnsi="Arial Narrow"/>
                <w:color w:val="595959"/>
                <w:sz w:val="22"/>
                <w:szCs w:val="22"/>
              </w:rPr>
              <w:t>, INDICATORI PER PROVINCIA.</w:t>
            </w:r>
          </w:p>
          <w:p w14:paraId="135E0082" w14:textId="11DBC4FB" w:rsidR="001F7162" w:rsidRDefault="000307C0" w:rsidP="000307C0">
            <w:pPr>
              <w:keepLines/>
              <w:spacing w:after="120"/>
              <w:ind w:right="502"/>
              <w:jc w:val="both"/>
              <w:rPr>
                <w:rFonts w:ascii="Arial Narrow" w:eastAsia="Calibri" w:hAnsi="Arial Narrow" w:cs="Arial"/>
                <w:b/>
                <w:bCs/>
                <w:color w:val="595959"/>
                <w:sz w:val="6"/>
                <w:szCs w:val="6"/>
              </w:rPr>
            </w:pPr>
            <w:r>
              <w:rPr>
                <w:rFonts w:ascii="Arial Narrow" w:hAnsi="Arial Narrow"/>
                <w:color w:val="595959"/>
                <w:sz w:val="22"/>
                <w:szCs w:val="22"/>
              </w:rPr>
              <w:t>C</w:t>
            </w:r>
            <w:r w:rsidRPr="0049735D">
              <w:rPr>
                <w:rFonts w:ascii="Arial Narrow" w:hAnsi="Arial Narrow"/>
                <w:color w:val="595959"/>
                <w:sz w:val="22"/>
                <w:szCs w:val="22"/>
              </w:rPr>
              <w:t>ensimento</w:t>
            </w:r>
            <w:r>
              <w:rPr>
                <w:rFonts w:ascii="Arial Narrow" w:hAnsi="Arial Narrow"/>
                <w:color w:val="595959"/>
                <w:sz w:val="22"/>
                <w:szCs w:val="22"/>
              </w:rPr>
              <w:t xml:space="preserve"> 2020, valori percentuali</w:t>
            </w:r>
          </w:p>
        </w:tc>
      </w:tr>
      <w:tr w:rsidR="001F7162" w14:paraId="2B306599" w14:textId="77777777" w:rsidTr="00D23F39">
        <w:tblPrEx>
          <w:tblCellMar>
            <w:left w:w="70" w:type="dxa"/>
            <w:right w:w="70" w:type="dxa"/>
          </w:tblCellMar>
        </w:tblPrEx>
        <w:trPr>
          <w:trHeight w:val="227"/>
        </w:trPr>
        <w:tc>
          <w:tcPr>
            <w:tcW w:w="48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0C97EF" w14:textId="7C5EF151" w:rsidR="001F7162" w:rsidRDefault="00D23F39" w:rsidP="00FE7046">
            <w:pPr>
              <w:keepLines/>
              <w:spacing w:after="120"/>
              <w:ind w:right="502"/>
              <w:jc w:val="both"/>
              <w:rPr>
                <w:rFonts w:ascii="Arial Narrow" w:eastAsia="Calibri" w:hAnsi="Arial Narrow" w:cs="Arial"/>
                <w:b/>
                <w:bCs/>
                <w:color w:val="595959"/>
                <w:sz w:val="6"/>
                <w:szCs w:val="6"/>
              </w:rPr>
            </w:pPr>
            <w:r>
              <w:rPr>
                <w:noProof/>
              </w:rPr>
              <w:drawing>
                <wp:inline distT="0" distB="0" distL="0" distR="0" wp14:anchorId="615CB63F" wp14:editId="1173D7E4">
                  <wp:extent cx="2876550" cy="2160000"/>
                  <wp:effectExtent l="0" t="0" r="0" b="0"/>
                  <wp:docPr id="5" name="Grafico 5">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8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tbl>
            <w:tblPr>
              <w:tblW w:w="4400" w:type="dxa"/>
              <w:tblBorders>
                <w:top w:val="single" w:sz="4" w:space="0" w:color="auto"/>
                <w:bottom w:val="single" w:sz="4" w:space="0" w:color="BFBFBF" w:themeColor="background1" w:themeShade="BF"/>
                <w:insideH w:val="single" w:sz="4" w:space="0" w:color="auto"/>
              </w:tblBorders>
              <w:tblCellMar>
                <w:left w:w="70" w:type="dxa"/>
                <w:right w:w="70" w:type="dxa"/>
              </w:tblCellMar>
              <w:tblLook w:val="04A0" w:firstRow="1" w:lastRow="0" w:firstColumn="1" w:lastColumn="0" w:noHBand="0" w:noVBand="1"/>
            </w:tblPr>
            <w:tblGrid>
              <w:gridCol w:w="1112"/>
              <w:gridCol w:w="910"/>
              <w:gridCol w:w="718"/>
              <w:gridCol w:w="910"/>
              <w:gridCol w:w="718"/>
            </w:tblGrid>
            <w:tr w:rsidR="00D23F39" w14:paraId="3E9D0FDB" w14:textId="77777777" w:rsidTr="00DA6179">
              <w:trPr>
                <w:trHeight w:val="300"/>
              </w:trPr>
              <w:tc>
                <w:tcPr>
                  <w:tcW w:w="1120" w:type="dxa"/>
                  <w:vMerge w:val="restart"/>
                  <w:shd w:val="clear" w:color="auto" w:fill="auto"/>
                  <w:noWrap/>
                  <w:vAlign w:val="center"/>
                  <w:hideMark/>
                </w:tcPr>
                <w:p w14:paraId="543B31DF" w14:textId="77777777" w:rsidR="00D23F39" w:rsidRDefault="00D23F39" w:rsidP="00467807">
                  <w:pPr>
                    <w:spacing w:before="40" w:after="20"/>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640" w:type="dxa"/>
                  <w:gridSpan w:val="2"/>
                  <w:shd w:val="clear" w:color="000000" w:fill="E7E6E6"/>
                  <w:vAlign w:val="center"/>
                  <w:hideMark/>
                </w:tcPr>
                <w:p w14:paraId="7DF52328" w14:textId="77777777" w:rsidR="00D23F39" w:rsidRDefault="00D23F39" w:rsidP="00467807">
                  <w:pPr>
                    <w:spacing w:before="40" w:after="20"/>
                    <w:jc w:val="center"/>
                    <w:rPr>
                      <w:rFonts w:ascii="Arial Narrow" w:hAnsi="Arial Narrow" w:cs="Calibri"/>
                      <w:b/>
                      <w:bCs/>
                      <w:color w:val="000000"/>
                      <w:sz w:val="18"/>
                      <w:szCs w:val="18"/>
                    </w:rPr>
                  </w:pPr>
                  <w:r>
                    <w:rPr>
                      <w:rFonts w:ascii="Arial Narrow" w:hAnsi="Arial Narrow" w:cs="Calibri"/>
                      <w:b/>
                      <w:bCs/>
                      <w:color w:val="000000"/>
                      <w:sz w:val="18"/>
                      <w:szCs w:val="18"/>
                    </w:rPr>
                    <w:t>Indice di dipendenza</w:t>
                  </w:r>
                </w:p>
              </w:tc>
              <w:tc>
                <w:tcPr>
                  <w:tcW w:w="1640" w:type="dxa"/>
                  <w:gridSpan w:val="2"/>
                  <w:shd w:val="clear" w:color="auto" w:fill="auto"/>
                  <w:noWrap/>
                  <w:vAlign w:val="center"/>
                  <w:hideMark/>
                </w:tcPr>
                <w:p w14:paraId="4052ABFE" w14:textId="77777777" w:rsidR="00D23F39" w:rsidRDefault="00D23F39" w:rsidP="00467807">
                  <w:pPr>
                    <w:spacing w:before="40" w:after="20"/>
                    <w:jc w:val="center"/>
                    <w:rPr>
                      <w:rFonts w:ascii="Arial Narrow" w:hAnsi="Arial Narrow" w:cs="Calibri"/>
                      <w:b/>
                      <w:bCs/>
                      <w:color w:val="000000"/>
                      <w:sz w:val="18"/>
                      <w:szCs w:val="18"/>
                    </w:rPr>
                  </w:pPr>
                  <w:r>
                    <w:rPr>
                      <w:rFonts w:ascii="Arial Narrow" w:hAnsi="Arial Narrow" w:cs="Calibri"/>
                      <w:b/>
                      <w:bCs/>
                      <w:color w:val="000000"/>
                      <w:sz w:val="18"/>
                      <w:szCs w:val="18"/>
                    </w:rPr>
                    <w:t>Indice di vecchiaia</w:t>
                  </w:r>
                </w:p>
              </w:tc>
            </w:tr>
            <w:tr w:rsidR="00D23F39" w14:paraId="7DED09FA" w14:textId="77777777" w:rsidTr="00DA6179">
              <w:trPr>
                <w:trHeight w:val="300"/>
              </w:trPr>
              <w:tc>
                <w:tcPr>
                  <w:tcW w:w="1120" w:type="dxa"/>
                  <w:vMerge/>
                  <w:vAlign w:val="center"/>
                  <w:hideMark/>
                </w:tcPr>
                <w:p w14:paraId="2A762392" w14:textId="77777777" w:rsidR="00D23F39" w:rsidRDefault="00D23F39" w:rsidP="00467807">
                  <w:pPr>
                    <w:spacing w:before="40" w:after="20"/>
                    <w:rPr>
                      <w:rFonts w:ascii="Arial Narrow" w:hAnsi="Arial Narrow" w:cs="Calibri"/>
                      <w:b/>
                      <w:bCs/>
                      <w:color w:val="000000"/>
                      <w:sz w:val="18"/>
                      <w:szCs w:val="18"/>
                    </w:rPr>
                  </w:pPr>
                </w:p>
              </w:tc>
              <w:tc>
                <w:tcPr>
                  <w:tcW w:w="917" w:type="dxa"/>
                  <w:shd w:val="clear" w:color="auto" w:fill="auto"/>
                  <w:noWrap/>
                  <w:vAlign w:val="bottom"/>
                  <w:hideMark/>
                </w:tcPr>
                <w:p w14:paraId="113F57CE"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723" w:type="dxa"/>
                  <w:shd w:val="clear" w:color="auto" w:fill="auto"/>
                  <w:noWrap/>
                  <w:vAlign w:val="bottom"/>
                  <w:hideMark/>
                </w:tcPr>
                <w:p w14:paraId="4618436A"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Italiani</w:t>
                  </w:r>
                </w:p>
              </w:tc>
              <w:tc>
                <w:tcPr>
                  <w:tcW w:w="917" w:type="dxa"/>
                  <w:shd w:val="clear" w:color="auto" w:fill="auto"/>
                  <w:noWrap/>
                  <w:vAlign w:val="bottom"/>
                  <w:hideMark/>
                </w:tcPr>
                <w:p w14:paraId="2BDF2196"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723" w:type="dxa"/>
                  <w:shd w:val="clear" w:color="auto" w:fill="auto"/>
                  <w:noWrap/>
                  <w:vAlign w:val="bottom"/>
                  <w:hideMark/>
                </w:tcPr>
                <w:p w14:paraId="2A18366F"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Italiani</w:t>
                  </w:r>
                </w:p>
              </w:tc>
            </w:tr>
            <w:tr w:rsidR="00D23F39" w14:paraId="60CE43B9" w14:textId="77777777" w:rsidTr="00DA6179">
              <w:trPr>
                <w:trHeight w:val="300"/>
              </w:trPr>
              <w:tc>
                <w:tcPr>
                  <w:tcW w:w="1120" w:type="dxa"/>
                  <w:shd w:val="clear" w:color="auto" w:fill="auto"/>
                  <w:noWrap/>
                  <w:vAlign w:val="center"/>
                  <w:hideMark/>
                </w:tcPr>
                <w:p w14:paraId="09A4AADE" w14:textId="77777777" w:rsidR="00D23F39" w:rsidRDefault="00D23F39" w:rsidP="00467807">
                  <w:pPr>
                    <w:spacing w:before="40" w:after="20"/>
                    <w:rPr>
                      <w:rFonts w:ascii="Arial Narrow" w:hAnsi="Arial Narrow" w:cs="Calibri"/>
                      <w:color w:val="000000"/>
                      <w:sz w:val="18"/>
                      <w:szCs w:val="18"/>
                    </w:rPr>
                  </w:pPr>
                  <w:r>
                    <w:rPr>
                      <w:rFonts w:ascii="Arial Narrow" w:hAnsi="Arial Narrow" w:cs="Calibri"/>
                      <w:color w:val="000000"/>
                      <w:sz w:val="18"/>
                      <w:szCs w:val="18"/>
                    </w:rPr>
                    <w:t>Matera</w:t>
                  </w:r>
                </w:p>
              </w:tc>
              <w:tc>
                <w:tcPr>
                  <w:tcW w:w="917" w:type="dxa"/>
                  <w:shd w:val="clear" w:color="000000" w:fill="D9D9D9"/>
                  <w:noWrap/>
                  <w:vAlign w:val="bottom"/>
                  <w:hideMark/>
                </w:tcPr>
                <w:p w14:paraId="0D3BC19F"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24,8</w:t>
                  </w:r>
                </w:p>
              </w:tc>
              <w:tc>
                <w:tcPr>
                  <w:tcW w:w="723" w:type="dxa"/>
                  <w:shd w:val="clear" w:color="auto" w:fill="auto"/>
                  <w:noWrap/>
                  <w:vAlign w:val="center"/>
                  <w:hideMark/>
                </w:tcPr>
                <w:p w14:paraId="487FA25D"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57,8</w:t>
                  </w:r>
                </w:p>
              </w:tc>
              <w:tc>
                <w:tcPr>
                  <w:tcW w:w="917" w:type="dxa"/>
                  <w:shd w:val="clear" w:color="000000" w:fill="D9D9D9"/>
                  <w:noWrap/>
                  <w:vAlign w:val="bottom"/>
                  <w:hideMark/>
                </w:tcPr>
                <w:p w14:paraId="6384AD10" w14:textId="77777777" w:rsidR="00D23F39" w:rsidRDefault="00D23F39" w:rsidP="00467807">
                  <w:pPr>
                    <w:spacing w:before="40" w:after="20"/>
                    <w:jc w:val="right"/>
                    <w:rPr>
                      <w:rFonts w:ascii="Arial Narrow" w:hAnsi="Arial Narrow" w:cs="Calibri"/>
                      <w:sz w:val="18"/>
                      <w:szCs w:val="18"/>
                    </w:rPr>
                  </w:pPr>
                  <w:r>
                    <w:rPr>
                      <w:rFonts w:ascii="Arial Narrow" w:hAnsi="Arial Narrow" w:cs="Calibri"/>
                      <w:sz w:val="18"/>
                      <w:szCs w:val="18"/>
                    </w:rPr>
                    <w:t>18,4</w:t>
                  </w:r>
                </w:p>
              </w:tc>
              <w:tc>
                <w:tcPr>
                  <w:tcW w:w="723" w:type="dxa"/>
                  <w:shd w:val="clear" w:color="auto" w:fill="auto"/>
                  <w:noWrap/>
                  <w:vAlign w:val="bottom"/>
                  <w:hideMark/>
                </w:tcPr>
                <w:p w14:paraId="73F03280" w14:textId="77777777" w:rsidR="00D23F39" w:rsidRDefault="00D23F39" w:rsidP="00467807">
                  <w:pPr>
                    <w:spacing w:before="40" w:after="20"/>
                    <w:jc w:val="right"/>
                    <w:rPr>
                      <w:rFonts w:ascii="Arial Narrow" w:hAnsi="Arial Narrow" w:cs="Calibri"/>
                      <w:sz w:val="18"/>
                      <w:szCs w:val="18"/>
                    </w:rPr>
                  </w:pPr>
                  <w:r>
                    <w:rPr>
                      <w:rFonts w:ascii="Arial Narrow" w:hAnsi="Arial Narrow" w:cs="Calibri"/>
                      <w:sz w:val="18"/>
                      <w:szCs w:val="18"/>
                    </w:rPr>
                    <w:t>209,6</w:t>
                  </w:r>
                </w:p>
              </w:tc>
            </w:tr>
            <w:tr w:rsidR="00D23F39" w14:paraId="7744097B" w14:textId="77777777" w:rsidTr="00DA6179">
              <w:trPr>
                <w:trHeight w:val="300"/>
              </w:trPr>
              <w:tc>
                <w:tcPr>
                  <w:tcW w:w="1120" w:type="dxa"/>
                  <w:shd w:val="clear" w:color="auto" w:fill="auto"/>
                  <w:noWrap/>
                  <w:vAlign w:val="center"/>
                  <w:hideMark/>
                </w:tcPr>
                <w:p w14:paraId="6408E759" w14:textId="77777777" w:rsidR="00D23F39" w:rsidRDefault="00D23F39" w:rsidP="00467807">
                  <w:pPr>
                    <w:spacing w:before="40" w:after="20"/>
                    <w:rPr>
                      <w:rFonts w:ascii="Arial Narrow" w:hAnsi="Arial Narrow" w:cs="Calibri"/>
                      <w:color w:val="000000"/>
                      <w:sz w:val="18"/>
                      <w:szCs w:val="18"/>
                    </w:rPr>
                  </w:pPr>
                  <w:r>
                    <w:rPr>
                      <w:rFonts w:ascii="Arial Narrow" w:hAnsi="Arial Narrow" w:cs="Calibri"/>
                      <w:color w:val="000000"/>
                      <w:sz w:val="18"/>
                      <w:szCs w:val="18"/>
                    </w:rPr>
                    <w:t>Potenza</w:t>
                  </w:r>
                </w:p>
              </w:tc>
              <w:tc>
                <w:tcPr>
                  <w:tcW w:w="917" w:type="dxa"/>
                  <w:shd w:val="clear" w:color="000000" w:fill="D9D9D9"/>
                  <w:noWrap/>
                  <w:vAlign w:val="bottom"/>
                  <w:hideMark/>
                </w:tcPr>
                <w:p w14:paraId="44A024B0"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21,7</w:t>
                  </w:r>
                </w:p>
              </w:tc>
              <w:tc>
                <w:tcPr>
                  <w:tcW w:w="723" w:type="dxa"/>
                  <w:shd w:val="clear" w:color="auto" w:fill="auto"/>
                  <w:noWrap/>
                  <w:vAlign w:val="center"/>
                  <w:hideMark/>
                </w:tcPr>
                <w:p w14:paraId="4EAC483B" w14:textId="77777777" w:rsidR="00D23F39" w:rsidRDefault="00D23F39" w:rsidP="00467807">
                  <w:pPr>
                    <w:spacing w:before="40" w:after="20"/>
                    <w:jc w:val="right"/>
                    <w:rPr>
                      <w:rFonts w:ascii="Arial Narrow" w:hAnsi="Arial Narrow" w:cs="Calibri"/>
                      <w:color w:val="000000"/>
                      <w:sz w:val="18"/>
                      <w:szCs w:val="18"/>
                    </w:rPr>
                  </w:pPr>
                  <w:r>
                    <w:rPr>
                      <w:rFonts w:ascii="Arial Narrow" w:hAnsi="Arial Narrow" w:cs="Calibri"/>
                      <w:color w:val="000000"/>
                      <w:sz w:val="18"/>
                      <w:szCs w:val="18"/>
                    </w:rPr>
                    <w:t>57,1</w:t>
                  </w:r>
                </w:p>
              </w:tc>
              <w:tc>
                <w:tcPr>
                  <w:tcW w:w="917" w:type="dxa"/>
                  <w:shd w:val="clear" w:color="000000" w:fill="D9D9D9"/>
                  <w:noWrap/>
                  <w:vAlign w:val="bottom"/>
                  <w:hideMark/>
                </w:tcPr>
                <w:p w14:paraId="425BE689" w14:textId="77777777" w:rsidR="00D23F39" w:rsidRDefault="00D23F39" w:rsidP="00467807">
                  <w:pPr>
                    <w:spacing w:before="40" w:after="20"/>
                    <w:jc w:val="right"/>
                    <w:rPr>
                      <w:rFonts w:ascii="Arial Narrow" w:hAnsi="Arial Narrow" w:cs="Calibri"/>
                      <w:sz w:val="18"/>
                      <w:szCs w:val="18"/>
                    </w:rPr>
                  </w:pPr>
                  <w:r>
                    <w:rPr>
                      <w:rFonts w:ascii="Arial Narrow" w:hAnsi="Arial Narrow" w:cs="Calibri"/>
                      <w:sz w:val="18"/>
                      <w:szCs w:val="18"/>
                    </w:rPr>
                    <w:t>25,3</w:t>
                  </w:r>
                </w:p>
              </w:tc>
              <w:tc>
                <w:tcPr>
                  <w:tcW w:w="723" w:type="dxa"/>
                  <w:shd w:val="clear" w:color="auto" w:fill="auto"/>
                  <w:noWrap/>
                  <w:vAlign w:val="bottom"/>
                  <w:hideMark/>
                </w:tcPr>
                <w:p w14:paraId="5AA7ED36" w14:textId="77777777" w:rsidR="00D23F39" w:rsidRDefault="00D23F39" w:rsidP="00467807">
                  <w:pPr>
                    <w:spacing w:before="40" w:after="20"/>
                    <w:jc w:val="right"/>
                    <w:rPr>
                      <w:rFonts w:ascii="Arial Narrow" w:hAnsi="Arial Narrow" w:cs="Calibri"/>
                      <w:sz w:val="18"/>
                      <w:szCs w:val="18"/>
                    </w:rPr>
                  </w:pPr>
                  <w:r>
                    <w:rPr>
                      <w:rFonts w:ascii="Arial Narrow" w:hAnsi="Arial Narrow" w:cs="Calibri"/>
                      <w:sz w:val="18"/>
                      <w:szCs w:val="18"/>
                    </w:rPr>
                    <w:t>221,3</w:t>
                  </w:r>
                </w:p>
              </w:tc>
            </w:tr>
            <w:tr w:rsidR="00D23F39" w14:paraId="0B533330" w14:textId="77777777" w:rsidTr="00DA6179">
              <w:trPr>
                <w:trHeight w:val="330"/>
              </w:trPr>
              <w:tc>
                <w:tcPr>
                  <w:tcW w:w="1120" w:type="dxa"/>
                  <w:shd w:val="clear" w:color="000000" w:fill="C9321F"/>
                  <w:noWrap/>
                  <w:vAlign w:val="center"/>
                  <w:hideMark/>
                </w:tcPr>
                <w:p w14:paraId="082C9DDC" w14:textId="77777777" w:rsidR="00D23F39" w:rsidRDefault="00D23F39" w:rsidP="00467807">
                  <w:pPr>
                    <w:spacing w:before="40" w:after="20"/>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917" w:type="dxa"/>
                  <w:shd w:val="clear" w:color="000000" w:fill="C9321F"/>
                  <w:noWrap/>
                  <w:vAlign w:val="center"/>
                  <w:hideMark/>
                </w:tcPr>
                <w:p w14:paraId="32B0C33C"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23,2</w:t>
                  </w:r>
                </w:p>
              </w:tc>
              <w:tc>
                <w:tcPr>
                  <w:tcW w:w="723" w:type="dxa"/>
                  <w:shd w:val="clear" w:color="000000" w:fill="C9321F"/>
                  <w:noWrap/>
                  <w:vAlign w:val="center"/>
                  <w:hideMark/>
                </w:tcPr>
                <w:p w14:paraId="423EA51F"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57,3</w:t>
                  </w:r>
                </w:p>
              </w:tc>
              <w:tc>
                <w:tcPr>
                  <w:tcW w:w="917" w:type="dxa"/>
                  <w:shd w:val="clear" w:color="000000" w:fill="C9321F"/>
                  <w:noWrap/>
                  <w:vAlign w:val="center"/>
                  <w:hideMark/>
                </w:tcPr>
                <w:p w14:paraId="7851654F"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21,6</w:t>
                  </w:r>
                </w:p>
              </w:tc>
              <w:tc>
                <w:tcPr>
                  <w:tcW w:w="723" w:type="dxa"/>
                  <w:shd w:val="clear" w:color="000000" w:fill="C9321F"/>
                  <w:noWrap/>
                  <w:vAlign w:val="center"/>
                  <w:hideMark/>
                </w:tcPr>
                <w:p w14:paraId="65A879BD"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217,1</w:t>
                  </w:r>
                </w:p>
              </w:tc>
            </w:tr>
            <w:tr w:rsidR="00D23F39" w14:paraId="30CA7233" w14:textId="77777777" w:rsidTr="00DA6179">
              <w:trPr>
                <w:trHeight w:val="330"/>
              </w:trPr>
              <w:tc>
                <w:tcPr>
                  <w:tcW w:w="1120" w:type="dxa"/>
                  <w:shd w:val="clear" w:color="000000" w:fill="C9321F"/>
                  <w:noWrap/>
                  <w:vAlign w:val="center"/>
                  <w:hideMark/>
                </w:tcPr>
                <w:p w14:paraId="11DF5EA7" w14:textId="77777777" w:rsidR="00D23F39" w:rsidRDefault="00D23F39" w:rsidP="00467807">
                  <w:pPr>
                    <w:spacing w:before="40" w:after="20"/>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917" w:type="dxa"/>
                  <w:shd w:val="clear" w:color="000000" w:fill="C9321F"/>
                  <w:noWrap/>
                  <w:vAlign w:val="bottom"/>
                  <w:hideMark/>
                </w:tcPr>
                <w:p w14:paraId="413EF892"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28,9</w:t>
                  </w:r>
                </w:p>
              </w:tc>
              <w:tc>
                <w:tcPr>
                  <w:tcW w:w="723" w:type="dxa"/>
                  <w:shd w:val="clear" w:color="000000" w:fill="C9321F"/>
                  <w:noWrap/>
                  <w:vAlign w:val="center"/>
                  <w:hideMark/>
                </w:tcPr>
                <w:p w14:paraId="27D2D2F4"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60,7</w:t>
                  </w:r>
                </w:p>
              </w:tc>
              <w:tc>
                <w:tcPr>
                  <w:tcW w:w="917" w:type="dxa"/>
                  <w:shd w:val="clear" w:color="000000" w:fill="C9321F"/>
                  <w:noWrap/>
                  <w:vAlign w:val="bottom"/>
                  <w:hideMark/>
                </w:tcPr>
                <w:p w14:paraId="5DF3B347"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27,7</w:t>
                  </w:r>
                </w:p>
              </w:tc>
              <w:tc>
                <w:tcPr>
                  <w:tcW w:w="723" w:type="dxa"/>
                  <w:shd w:val="clear" w:color="000000" w:fill="C9321F"/>
                  <w:noWrap/>
                  <w:vAlign w:val="bottom"/>
                  <w:hideMark/>
                </w:tcPr>
                <w:p w14:paraId="6931A66C" w14:textId="77777777" w:rsidR="00D23F39" w:rsidRDefault="00D23F39" w:rsidP="00467807">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203,5</w:t>
                  </w:r>
                </w:p>
              </w:tc>
            </w:tr>
          </w:tbl>
          <w:p w14:paraId="0D2DA570" w14:textId="77777777" w:rsidR="001F7162" w:rsidRDefault="001F7162" w:rsidP="00FE7046">
            <w:pPr>
              <w:keepLines/>
              <w:spacing w:after="120"/>
              <w:ind w:right="502"/>
              <w:jc w:val="both"/>
              <w:rPr>
                <w:rFonts w:ascii="Arial Narrow" w:eastAsia="Calibri" w:hAnsi="Arial Narrow" w:cs="Arial"/>
                <w:b/>
                <w:bCs/>
                <w:color w:val="595959"/>
                <w:sz w:val="6"/>
                <w:szCs w:val="6"/>
              </w:rPr>
            </w:pPr>
          </w:p>
        </w:tc>
      </w:tr>
    </w:tbl>
    <w:p w14:paraId="0A09A390" w14:textId="78D77AFD" w:rsidR="004162C3" w:rsidRDefault="004162C3" w:rsidP="00BB0936">
      <w:pPr>
        <w:tabs>
          <w:tab w:val="left" w:pos="567"/>
        </w:tabs>
        <w:spacing w:after="120"/>
        <w:jc w:val="both"/>
        <w:rPr>
          <w:rFonts w:ascii="Trebuchet MS" w:hAnsi="Trebuchet MS" w:cs="Arial"/>
          <w:color w:val="5F5F5F"/>
          <w:sz w:val="20"/>
          <w:szCs w:val="20"/>
        </w:rPr>
      </w:pPr>
    </w:p>
    <w:p w14:paraId="2DB92B15" w14:textId="2968EA78" w:rsidR="00BB0936" w:rsidRPr="00570DC8" w:rsidRDefault="00681666" w:rsidP="00BB0936">
      <w:pPr>
        <w:tabs>
          <w:tab w:val="left" w:pos="567"/>
        </w:tabs>
        <w:spacing w:before="120" w:after="120"/>
        <w:jc w:val="both"/>
        <w:rPr>
          <w:rFonts w:ascii="Trebuchet MS" w:hAnsi="Trebuchet MS" w:cs="Arial"/>
          <w:color w:val="5F5F5F"/>
          <w:sz w:val="20"/>
          <w:szCs w:val="20"/>
        </w:rPr>
      </w:pPr>
      <w:r w:rsidRPr="00570DC8">
        <w:rPr>
          <w:rFonts w:ascii="Trebuchet MS" w:hAnsi="Trebuchet MS" w:cs="Arial"/>
          <w:color w:val="5F5F5F"/>
          <w:sz w:val="20"/>
          <w:szCs w:val="20"/>
        </w:rPr>
        <w:lastRenderedPageBreak/>
        <w:t>Quanto</w:t>
      </w:r>
      <w:r w:rsidR="00BB0936" w:rsidRPr="00570DC8">
        <w:rPr>
          <w:rFonts w:ascii="Trebuchet MS" w:hAnsi="Trebuchet MS" w:cs="Arial"/>
          <w:color w:val="5F5F5F"/>
          <w:sz w:val="20"/>
          <w:szCs w:val="20"/>
        </w:rPr>
        <w:t xml:space="preserve"> alla distribuzione per cittadinanza, nel 2020 </w:t>
      </w:r>
      <w:r w:rsidR="0085729D" w:rsidRPr="00570DC8">
        <w:rPr>
          <w:rFonts w:ascii="Trebuchet MS" w:hAnsi="Trebuchet MS" w:cs="Arial"/>
          <w:color w:val="5F5F5F"/>
          <w:sz w:val="20"/>
          <w:szCs w:val="20"/>
        </w:rPr>
        <w:t>oltre</w:t>
      </w:r>
      <w:r w:rsidR="00BB0936" w:rsidRPr="00570DC8">
        <w:rPr>
          <w:rFonts w:ascii="Trebuchet MS" w:hAnsi="Trebuchet MS" w:cs="Arial"/>
          <w:color w:val="5F5F5F"/>
          <w:sz w:val="20"/>
          <w:szCs w:val="20"/>
        </w:rPr>
        <w:t xml:space="preserve"> la metà (</w:t>
      </w:r>
      <w:r w:rsidR="0085729D" w:rsidRPr="00570DC8">
        <w:rPr>
          <w:rFonts w:ascii="Trebuchet MS" w:hAnsi="Trebuchet MS" w:cs="Arial"/>
          <w:color w:val="5F5F5F"/>
          <w:sz w:val="20"/>
          <w:szCs w:val="20"/>
        </w:rPr>
        <w:t>5</w:t>
      </w:r>
      <w:r w:rsidR="00BB0936" w:rsidRPr="00570DC8">
        <w:rPr>
          <w:rFonts w:ascii="Trebuchet MS" w:hAnsi="Trebuchet MS" w:cs="Arial"/>
          <w:color w:val="5F5F5F"/>
          <w:sz w:val="20"/>
          <w:szCs w:val="20"/>
        </w:rPr>
        <w:t>6,</w:t>
      </w:r>
      <w:r w:rsidR="0085729D" w:rsidRPr="00570DC8">
        <w:rPr>
          <w:rFonts w:ascii="Trebuchet MS" w:hAnsi="Trebuchet MS" w:cs="Arial"/>
          <w:color w:val="5F5F5F"/>
          <w:sz w:val="20"/>
          <w:szCs w:val="20"/>
        </w:rPr>
        <w:t>2</w:t>
      </w:r>
      <w:r w:rsidR="00BB0936" w:rsidRPr="00570DC8">
        <w:rPr>
          <w:rFonts w:ascii="Trebuchet MS" w:hAnsi="Trebuchet MS" w:cs="Arial"/>
          <w:color w:val="5F5F5F"/>
          <w:sz w:val="20"/>
          <w:szCs w:val="20"/>
        </w:rPr>
        <w:t xml:space="preserve">%) dei cittadini stranieri dimoranti in regione proviene dall’Europa, il </w:t>
      </w:r>
      <w:r w:rsidR="0085729D" w:rsidRPr="00570DC8">
        <w:rPr>
          <w:rFonts w:ascii="Trebuchet MS" w:hAnsi="Trebuchet MS" w:cs="Arial"/>
          <w:color w:val="5F5F5F"/>
          <w:sz w:val="20"/>
          <w:szCs w:val="20"/>
        </w:rPr>
        <w:t>25</w:t>
      </w:r>
      <w:r w:rsidR="00BB0936" w:rsidRPr="00570DC8">
        <w:rPr>
          <w:rFonts w:ascii="Trebuchet MS" w:hAnsi="Trebuchet MS" w:cs="Arial"/>
          <w:color w:val="5F5F5F"/>
          <w:sz w:val="20"/>
          <w:szCs w:val="20"/>
        </w:rPr>
        <w:t>,</w:t>
      </w:r>
      <w:r w:rsidR="0085729D" w:rsidRPr="00570DC8">
        <w:rPr>
          <w:rFonts w:ascii="Trebuchet MS" w:hAnsi="Trebuchet MS" w:cs="Arial"/>
          <w:color w:val="5F5F5F"/>
          <w:sz w:val="20"/>
          <w:szCs w:val="20"/>
        </w:rPr>
        <w:t>8</w:t>
      </w:r>
      <w:r w:rsidR="00BB0936" w:rsidRPr="00570DC8">
        <w:rPr>
          <w:rFonts w:ascii="Trebuchet MS" w:hAnsi="Trebuchet MS" w:cs="Arial"/>
          <w:color w:val="5F5F5F"/>
          <w:sz w:val="20"/>
          <w:szCs w:val="20"/>
        </w:rPr>
        <w:t>% dall’A</w:t>
      </w:r>
      <w:r w:rsidR="0085729D" w:rsidRPr="00570DC8">
        <w:rPr>
          <w:rFonts w:ascii="Trebuchet MS" w:hAnsi="Trebuchet MS" w:cs="Arial"/>
          <w:color w:val="5F5F5F"/>
          <w:sz w:val="20"/>
          <w:szCs w:val="20"/>
        </w:rPr>
        <w:t>frica</w:t>
      </w:r>
      <w:r w:rsidRPr="00570DC8">
        <w:rPr>
          <w:rFonts w:ascii="Trebuchet MS" w:hAnsi="Trebuchet MS" w:cs="Arial"/>
          <w:color w:val="5F5F5F"/>
          <w:sz w:val="20"/>
          <w:szCs w:val="20"/>
        </w:rPr>
        <w:t>,</w:t>
      </w:r>
      <w:r w:rsidR="00BB0936" w:rsidRPr="00570DC8">
        <w:rPr>
          <w:rFonts w:ascii="Trebuchet MS" w:hAnsi="Trebuchet MS" w:cs="Arial"/>
          <w:color w:val="5F5F5F"/>
          <w:sz w:val="20"/>
          <w:szCs w:val="20"/>
        </w:rPr>
        <w:t xml:space="preserve"> il 1</w:t>
      </w:r>
      <w:r w:rsidR="0085729D" w:rsidRPr="00570DC8">
        <w:rPr>
          <w:rFonts w:ascii="Trebuchet MS" w:hAnsi="Trebuchet MS" w:cs="Arial"/>
          <w:color w:val="5F5F5F"/>
          <w:sz w:val="20"/>
          <w:szCs w:val="20"/>
        </w:rPr>
        <w:t>4</w:t>
      </w:r>
      <w:r w:rsidR="00BB0936" w:rsidRPr="00570DC8">
        <w:rPr>
          <w:rFonts w:ascii="Trebuchet MS" w:hAnsi="Trebuchet MS" w:cs="Arial"/>
          <w:color w:val="5F5F5F"/>
          <w:sz w:val="20"/>
          <w:szCs w:val="20"/>
        </w:rPr>
        <w:t>,</w:t>
      </w:r>
      <w:r w:rsidR="0085729D" w:rsidRPr="00570DC8">
        <w:rPr>
          <w:rFonts w:ascii="Trebuchet MS" w:hAnsi="Trebuchet MS" w:cs="Arial"/>
          <w:color w:val="5F5F5F"/>
          <w:sz w:val="20"/>
          <w:szCs w:val="20"/>
        </w:rPr>
        <w:t>9</w:t>
      </w:r>
      <w:r w:rsidR="00BB0936" w:rsidRPr="00570DC8">
        <w:rPr>
          <w:rFonts w:ascii="Trebuchet MS" w:hAnsi="Trebuchet MS" w:cs="Arial"/>
          <w:color w:val="5F5F5F"/>
          <w:sz w:val="20"/>
          <w:szCs w:val="20"/>
        </w:rPr>
        <w:t>% dall’A</w:t>
      </w:r>
      <w:r w:rsidR="0085729D" w:rsidRPr="00570DC8">
        <w:rPr>
          <w:rFonts w:ascii="Trebuchet MS" w:hAnsi="Trebuchet MS" w:cs="Arial"/>
          <w:color w:val="5F5F5F"/>
          <w:sz w:val="20"/>
          <w:szCs w:val="20"/>
        </w:rPr>
        <w:t>sia</w:t>
      </w:r>
      <w:r w:rsidR="00BB0936" w:rsidRPr="00570DC8">
        <w:rPr>
          <w:rFonts w:ascii="Trebuchet MS" w:hAnsi="Trebuchet MS" w:cs="Arial"/>
          <w:color w:val="5F5F5F"/>
          <w:sz w:val="20"/>
          <w:szCs w:val="20"/>
        </w:rPr>
        <w:t xml:space="preserve"> e il </w:t>
      </w:r>
      <w:r w:rsidR="0085729D" w:rsidRPr="00570DC8">
        <w:rPr>
          <w:rFonts w:ascii="Trebuchet MS" w:hAnsi="Trebuchet MS" w:cs="Arial"/>
          <w:color w:val="5F5F5F"/>
          <w:sz w:val="20"/>
          <w:szCs w:val="20"/>
        </w:rPr>
        <w:t>3</w:t>
      </w:r>
      <w:r w:rsidR="00BB0936" w:rsidRPr="00570DC8">
        <w:rPr>
          <w:rFonts w:ascii="Trebuchet MS" w:hAnsi="Trebuchet MS" w:cs="Arial"/>
          <w:color w:val="5F5F5F"/>
          <w:sz w:val="20"/>
          <w:szCs w:val="20"/>
        </w:rPr>
        <w:t>,</w:t>
      </w:r>
      <w:r w:rsidR="0085729D" w:rsidRPr="00570DC8">
        <w:rPr>
          <w:rFonts w:ascii="Trebuchet MS" w:hAnsi="Trebuchet MS" w:cs="Arial"/>
          <w:color w:val="5F5F5F"/>
          <w:sz w:val="20"/>
          <w:szCs w:val="20"/>
        </w:rPr>
        <w:t>1</w:t>
      </w:r>
      <w:r w:rsidR="00BB0936" w:rsidRPr="00570DC8">
        <w:rPr>
          <w:rFonts w:ascii="Trebuchet MS" w:hAnsi="Trebuchet MS" w:cs="Arial"/>
          <w:color w:val="5F5F5F"/>
          <w:sz w:val="20"/>
          <w:szCs w:val="20"/>
        </w:rPr>
        <w:t>% dall’America. So</w:t>
      </w:r>
      <w:r w:rsidRPr="00570DC8">
        <w:rPr>
          <w:rFonts w:ascii="Trebuchet MS" w:hAnsi="Trebuchet MS" w:cs="Arial"/>
          <w:color w:val="5F5F5F"/>
          <w:sz w:val="20"/>
          <w:szCs w:val="20"/>
        </w:rPr>
        <w:t>n</w:t>
      </w:r>
      <w:r w:rsidR="00BB0936" w:rsidRPr="00570DC8">
        <w:rPr>
          <w:rFonts w:ascii="Trebuchet MS" w:hAnsi="Trebuchet MS" w:cs="Arial"/>
          <w:color w:val="5F5F5F"/>
          <w:sz w:val="20"/>
          <w:szCs w:val="20"/>
        </w:rPr>
        <w:t xml:space="preserve">o residuali le presenze dall’Oceania e </w:t>
      </w:r>
      <w:r w:rsidR="00BC0BE0">
        <w:rPr>
          <w:rFonts w:ascii="Trebuchet MS" w:hAnsi="Trebuchet MS" w:cs="Arial"/>
          <w:color w:val="5F5F5F"/>
          <w:sz w:val="20"/>
          <w:szCs w:val="20"/>
        </w:rPr>
        <w:t xml:space="preserve">gli </w:t>
      </w:r>
      <w:r w:rsidR="00BB0936" w:rsidRPr="00570DC8">
        <w:rPr>
          <w:rFonts w:ascii="Trebuchet MS" w:hAnsi="Trebuchet MS" w:cs="Arial"/>
          <w:color w:val="5F5F5F"/>
          <w:sz w:val="20"/>
          <w:szCs w:val="20"/>
        </w:rPr>
        <w:t>apolidi.</w:t>
      </w:r>
    </w:p>
    <w:p w14:paraId="71817364" w14:textId="655BCDA7" w:rsidR="00681666" w:rsidRPr="00570DC8" w:rsidRDefault="00681666" w:rsidP="00681666">
      <w:pPr>
        <w:tabs>
          <w:tab w:val="left" w:pos="567"/>
        </w:tabs>
        <w:spacing w:before="120" w:after="120"/>
        <w:jc w:val="both"/>
        <w:rPr>
          <w:rFonts w:ascii="Trebuchet MS" w:hAnsi="Trebuchet MS" w:cs="Arial"/>
          <w:color w:val="5F5F5F"/>
          <w:sz w:val="20"/>
          <w:szCs w:val="20"/>
        </w:rPr>
      </w:pPr>
      <w:r w:rsidRPr="00570DC8">
        <w:rPr>
          <w:rFonts w:ascii="Trebuchet MS" w:hAnsi="Trebuchet MS" w:cs="Arial"/>
          <w:color w:val="5F5F5F"/>
          <w:sz w:val="20"/>
          <w:szCs w:val="20"/>
        </w:rPr>
        <w:t>In virtù della nuova metodologia che ha fatto emergere quote di stranieri presenti da tempo sul territorio italiano, tutti i continenti registrano valori più elevati rispetto al 2019, ad eccezione dell'Europa</w:t>
      </w:r>
      <w:r w:rsidR="00BC45FC" w:rsidRPr="00570DC8">
        <w:rPr>
          <w:rFonts w:ascii="Trebuchet MS" w:hAnsi="Trebuchet MS" w:cs="Arial"/>
          <w:color w:val="5F5F5F"/>
          <w:sz w:val="20"/>
          <w:szCs w:val="20"/>
        </w:rPr>
        <w:t xml:space="preserve"> e dell’America</w:t>
      </w:r>
      <w:r w:rsidR="00BC0BE0">
        <w:rPr>
          <w:rFonts w:ascii="Trebuchet MS" w:hAnsi="Trebuchet MS" w:cs="Arial"/>
          <w:color w:val="5F5F5F"/>
          <w:sz w:val="20"/>
          <w:szCs w:val="20"/>
        </w:rPr>
        <w:t xml:space="preserve">, </w:t>
      </w:r>
      <w:r w:rsidRPr="00570DC8">
        <w:rPr>
          <w:rFonts w:ascii="Trebuchet MS" w:hAnsi="Trebuchet MS" w:cs="Arial"/>
          <w:color w:val="5F5F5F"/>
          <w:sz w:val="20"/>
          <w:szCs w:val="20"/>
        </w:rPr>
        <w:t>che conta</w:t>
      </w:r>
      <w:r w:rsidR="00BC45FC" w:rsidRPr="00570DC8">
        <w:rPr>
          <w:rFonts w:ascii="Trebuchet MS" w:hAnsi="Trebuchet MS" w:cs="Arial"/>
          <w:color w:val="5F5F5F"/>
          <w:sz w:val="20"/>
          <w:szCs w:val="20"/>
        </w:rPr>
        <w:t>no rispettivamente</w:t>
      </w:r>
      <w:r w:rsidRPr="00570DC8">
        <w:rPr>
          <w:rFonts w:ascii="Trebuchet MS" w:hAnsi="Trebuchet MS" w:cs="Arial"/>
          <w:color w:val="5F5F5F"/>
          <w:sz w:val="20"/>
          <w:szCs w:val="20"/>
        </w:rPr>
        <w:t xml:space="preserve"> </w:t>
      </w:r>
      <w:r w:rsidR="00BC45FC" w:rsidRPr="00570DC8">
        <w:rPr>
          <w:rFonts w:ascii="Trebuchet MS" w:hAnsi="Trebuchet MS" w:cs="Arial"/>
          <w:color w:val="5F5F5F"/>
          <w:sz w:val="20"/>
          <w:szCs w:val="20"/>
        </w:rPr>
        <w:t>984</w:t>
      </w:r>
      <w:r w:rsidRPr="00570DC8">
        <w:rPr>
          <w:rFonts w:ascii="Trebuchet MS" w:hAnsi="Trebuchet MS" w:cs="Arial"/>
          <w:color w:val="5F5F5F"/>
          <w:sz w:val="20"/>
          <w:szCs w:val="20"/>
        </w:rPr>
        <w:t xml:space="preserve"> </w:t>
      </w:r>
      <w:r w:rsidR="00BC45FC" w:rsidRPr="00570DC8">
        <w:rPr>
          <w:rFonts w:ascii="Trebuchet MS" w:hAnsi="Trebuchet MS" w:cs="Arial"/>
          <w:color w:val="5F5F5F"/>
          <w:sz w:val="20"/>
          <w:szCs w:val="20"/>
        </w:rPr>
        <w:t xml:space="preserve">e 25 </w:t>
      </w:r>
      <w:r w:rsidRPr="00570DC8">
        <w:rPr>
          <w:rFonts w:ascii="Trebuchet MS" w:hAnsi="Trebuchet MS" w:cs="Arial"/>
          <w:color w:val="5F5F5F"/>
          <w:sz w:val="20"/>
          <w:szCs w:val="20"/>
        </w:rPr>
        <w:t>unità in meno (-</w:t>
      </w:r>
      <w:r w:rsidR="00BC45FC" w:rsidRPr="00570DC8">
        <w:rPr>
          <w:rFonts w:ascii="Trebuchet MS" w:hAnsi="Trebuchet MS" w:cs="Arial"/>
          <w:color w:val="5F5F5F"/>
          <w:sz w:val="20"/>
          <w:szCs w:val="20"/>
        </w:rPr>
        <w:t>7,4</w:t>
      </w:r>
      <w:r w:rsidRPr="00570DC8">
        <w:rPr>
          <w:rFonts w:ascii="Trebuchet MS" w:hAnsi="Trebuchet MS" w:cs="Arial"/>
          <w:color w:val="5F5F5F"/>
          <w:sz w:val="20"/>
          <w:szCs w:val="20"/>
        </w:rPr>
        <w:t>%</w:t>
      </w:r>
      <w:r w:rsidR="00BC45FC" w:rsidRPr="00570DC8">
        <w:rPr>
          <w:rFonts w:ascii="Trebuchet MS" w:hAnsi="Trebuchet MS" w:cs="Arial"/>
          <w:color w:val="5F5F5F"/>
          <w:sz w:val="20"/>
          <w:szCs w:val="20"/>
        </w:rPr>
        <w:t xml:space="preserve"> e -3,5%</w:t>
      </w:r>
      <w:r w:rsidRPr="00570DC8">
        <w:rPr>
          <w:rFonts w:ascii="Trebuchet MS" w:hAnsi="Trebuchet MS" w:cs="Arial"/>
          <w:color w:val="5F5F5F"/>
          <w:sz w:val="20"/>
          <w:szCs w:val="20"/>
        </w:rPr>
        <w:t>).</w:t>
      </w:r>
    </w:p>
    <w:p w14:paraId="0E34C136" w14:textId="5BE4A771" w:rsidR="00681666" w:rsidRPr="00F803F8" w:rsidRDefault="00681666" w:rsidP="00681666">
      <w:pPr>
        <w:tabs>
          <w:tab w:val="left" w:pos="567"/>
        </w:tabs>
        <w:spacing w:before="120" w:after="120"/>
        <w:jc w:val="both"/>
        <w:rPr>
          <w:rFonts w:ascii="Trebuchet MS" w:hAnsi="Trebuchet MS" w:cs="Arial"/>
          <w:color w:val="5F5F5F"/>
          <w:sz w:val="20"/>
          <w:szCs w:val="20"/>
        </w:rPr>
      </w:pPr>
      <w:r w:rsidRPr="00570DC8">
        <w:rPr>
          <w:rFonts w:ascii="Trebuchet MS" w:hAnsi="Trebuchet MS" w:cs="Arial"/>
          <w:color w:val="5F5F5F"/>
          <w:sz w:val="20"/>
          <w:szCs w:val="20"/>
        </w:rPr>
        <w:t xml:space="preserve">Gli stranieri conteggiati nel 2020 provengono da </w:t>
      </w:r>
      <w:r w:rsidR="00A85FA9" w:rsidRPr="00570DC8">
        <w:rPr>
          <w:rFonts w:ascii="Trebuchet MS" w:hAnsi="Trebuchet MS" w:cs="Arial"/>
          <w:color w:val="5F5F5F"/>
          <w:sz w:val="20"/>
          <w:szCs w:val="20"/>
        </w:rPr>
        <w:t>136</w:t>
      </w:r>
      <w:r w:rsidRPr="00570DC8">
        <w:rPr>
          <w:rFonts w:ascii="Trebuchet MS" w:hAnsi="Trebuchet MS" w:cs="Arial"/>
          <w:color w:val="5F5F5F"/>
          <w:sz w:val="20"/>
          <w:szCs w:val="20"/>
        </w:rPr>
        <w:t xml:space="preserve"> paesi del mondo ma sono concentrati in un numero abbastanza ristretto di collettività: le prime dieci</w:t>
      </w:r>
      <w:r w:rsidR="00EA7D77" w:rsidRPr="00570DC8">
        <w:rPr>
          <w:rFonts w:ascii="Trebuchet MS" w:hAnsi="Trebuchet MS" w:cs="Arial"/>
          <w:color w:val="5F5F5F"/>
          <w:sz w:val="20"/>
          <w:szCs w:val="20"/>
        </w:rPr>
        <w:t>,</w:t>
      </w:r>
      <w:r w:rsidRPr="00570DC8">
        <w:rPr>
          <w:rFonts w:ascii="Trebuchet MS" w:hAnsi="Trebuchet MS" w:cs="Arial"/>
          <w:color w:val="5F5F5F"/>
          <w:sz w:val="20"/>
          <w:szCs w:val="20"/>
        </w:rPr>
        <w:t xml:space="preserve"> infatti</w:t>
      </w:r>
      <w:r w:rsidR="00EA7D77" w:rsidRPr="00570DC8">
        <w:rPr>
          <w:rFonts w:ascii="Trebuchet MS" w:hAnsi="Trebuchet MS" w:cs="Arial"/>
          <w:color w:val="5F5F5F"/>
          <w:sz w:val="20"/>
          <w:szCs w:val="20"/>
        </w:rPr>
        <w:t>,</w:t>
      </w:r>
      <w:r w:rsidRPr="00570DC8">
        <w:rPr>
          <w:rFonts w:ascii="Trebuchet MS" w:hAnsi="Trebuchet MS" w:cs="Arial"/>
          <w:color w:val="5F5F5F"/>
          <w:sz w:val="20"/>
          <w:szCs w:val="20"/>
        </w:rPr>
        <w:t xml:space="preserve"> totalizzano </w:t>
      </w:r>
      <w:r w:rsidR="00FC7D06" w:rsidRPr="00570DC8">
        <w:rPr>
          <w:rFonts w:ascii="Trebuchet MS" w:hAnsi="Trebuchet MS" w:cs="Arial"/>
          <w:color w:val="5F5F5F"/>
          <w:sz w:val="20"/>
          <w:szCs w:val="20"/>
        </w:rPr>
        <w:t>il 77,6</w:t>
      </w:r>
      <w:r w:rsidRPr="00570DC8">
        <w:rPr>
          <w:rFonts w:ascii="Trebuchet MS" w:hAnsi="Trebuchet MS" w:cs="Arial"/>
          <w:color w:val="5F5F5F"/>
          <w:sz w:val="20"/>
          <w:szCs w:val="20"/>
        </w:rPr>
        <w:t>% della presenza straniera mentre le prime tre (cittadini provenienti da Romania, Albania</w:t>
      </w:r>
      <w:r w:rsidR="003A0C13" w:rsidRPr="00570DC8">
        <w:rPr>
          <w:rFonts w:ascii="Trebuchet MS" w:hAnsi="Trebuchet MS" w:cs="Arial"/>
          <w:color w:val="5F5F5F"/>
          <w:sz w:val="20"/>
          <w:szCs w:val="20"/>
        </w:rPr>
        <w:t xml:space="preserve"> e Marocco</w:t>
      </w:r>
      <w:r w:rsidRPr="00570DC8">
        <w:rPr>
          <w:rFonts w:ascii="Trebuchet MS" w:hAnsi="Trebuchet MS" w:cs="Arial"/>
          <w:color w:val="5F5F5F"/>
          <w:sz w:val="20"/>
          <w:szCs w:val="20"/>
        </w:rPr>
        <w:t xml:space="preserve">) sono </w:t>
      </w:r>
      <w:r w:rsidR="00FC7D06" w:rsidRPr="00570DC8">
        <w:rPr>
          <w:rFonts w:ascii="Trebuchet MS" w:hAnsi="Trebuchet MS" w:cs="Arial"/>
          <w:color w:val="5F5F5F"/>
          <w:sz w:val="20"/>
          <w:szCs w:val="20"/>
        </w:rPr>
        <w:t>più del</w:t>
      </w:r>
      <w:r w:rsidRPr="00570DC8">
        <w:rPr>
          <w:rFonts w:ascii="Trebuchet MS" w:hAnsi="Trebuchet MS" w:cs="Arial"/>
          <w:color w:val="5F5F5F"/>
          <w:sz w:val="20"/>
          <w:szCs w:val="20"/>
        </w:rPr>
        <w:t>la metà (</w:t>
      </w:r>
      <w:r w:rsidR="00FC7D06" w:rsidRPr="00570DC8">
        <w:rPr>
          <w:rFonts w:ascii="Trebuchet MS" w:hAnsi="Trebuchet MS" w:cs="Arial"/>
          <w:color w:val="5F5F5F"/>
          <w:sz w:val="20"/>
          <w:szCs w:val="20"/>
        </w:rPr>
        <w:t>53</w:t>
      </w:r>
      <w:r w:rsidRPr="00570DC8">
        <w:rPr>
          <w:rFonts w:ascii="Trebuchet MS" w:hAnsi="Trebuchet MS" w:cs="Arial"/>
          <w:color w:val="5F5F5F"/>
          <w:sz w:val="20"/>
          <w:szCs w:val="20"/>
        </w:rPr>
        <w:t>,</w:t>
      </w:r>
      <w:r w:rsidR="00FC7D06" w:rsidRPr="00570DC8">
        <w:rPr>
          <w:rFonts w:ascii="Trebuchet MS" w:hAnsi="Trebuchet MS" w:cs="Arial"/>
          <w:color w:val="5F5F5F"/>
          <w:sz w:val="20"/>
          <w:szCs w:val="20"/>
        </w:rPr>
        <w:t>5</w:t>
      </w:r>
      <w:r w:rsidRPr="00570DC8">
        <w:rPr>
          <w:rFonts w:ascii="Trebuchet MS" w:hAnsi="Trebuchet MS" w:cs="Arial"/>
          <w:color w:val="5F5F5F"/>
          <w:sz w:val="20"/>
          <w:szCs w:val="20"/>
        </w:rPr>
        <w:t>%).</w:t>
      </w:r>
      <w:r w:rsidRPr="00DB40C6">
        <w:rPr>
          <w:rFonts w:ascii="Trebuchet MS" w:hAnsi="Trebuchet MS" w:cs="Arial"/>
          <w:color w:val="5F5F5F"/>
          <w:sz w:val="20"/>
          <w:szCs w:val="20"/>
        </w:rPr>
        <w:t xml:space="preserve"> </w:t>
      </w:r>
    </w:p>
    <w:p w14:paraId="792FBB5E" w14:textId="0EA13BF8" w:rsidR="00681666" w:rsidRDefault="00681666" w:rsidP="00681666">
      <w:pPr>
        <w:spacing w:after="120"/>
        <w:jc w:val="both"/>
        <w:rPr>
          <w:rFonts w:ascii="Trebuchet MS" w:hAnsi="Trebuchet MS" w:cs="Arial"/>
          <w:color w:val="5F5F5F"/>
          <w:sz w:val="20"/>
          <w:szCs w:val="20"/>
        </w:rPr>
      </w:pPr>
      <w:r>
        <w:rPr>
          <w:rFonts w:ascii="Trebuchet MS" w:hAnsi="Trebuchet MS" w:cs="Arial"/>
          <w:color w:val="5F5F5F"/>
          <w:sz w:val="20"/>
          <w:szCs w:val="20"/>
        </w:rPr>
        <w:t xml:space="preserve">La comunità rumena, prima in regione per numero di componenti, rappresenta il </w:t>
      </w:r>
      <w:r w:rsidR="00FC7D06">
        <w:rPr>
          <w:rFonts w:ascii="Trebuchet MS" w:hAnsi="Trebuchet MS" w:cs="Arial"/>
          <w:color w:val="5F5F5F"/>
          <w:sz w:val="20"/>
          <w:szCs w:val="20"/>
        </w:rPr>
        <w:t>34</w:t>
      </w:r>
      <w:r>
        <w:rPr>
          <w:rFonts w:ascii="Trebuchet MS" w:hAnsi="Trebuchet MS" w:cs="Arial"/>
          <w:color w:val="5F5F5F"/>
          <w:sz w:val="20"/>
          <w:szCs w:val="20"/>
        </w:rPr>
        <w:t>,</w:t>
      </w:r>
      <w:r w:rsidR="00FC7D06">
        <w:rPr>
          <w:rFonts w:ascii="Trebuchet MS" w:hAnsi="Trebuchet MS" w:cs="Arial"/>
          <w:color w:val="5F5F5F"/>
          <w:sz w:val="20"/>
          <w:szCs w:val="20"/>
        </w:rPr>
        <w:t>3</w:t>
      </w:r>
      <w:r>
        <w:rPr>
          <w:rFonts w:ascii="Trebuchet MS" w:hAnsi="Trebuchet MS" w:cs="Arial"/>
          <w:color w:val="5F5F5F"/>
          <w:sz w:val="20"/>
          <w:szCs w:val="20"/>
        </w:rPr>
        <w:t xml:space="preserve">% degli stranieri censiti nel 2020, con un peso percentuale più </w:t>
      </w:r>
      <w:r w:rsidR="00FC7D06">
        <w:rPr>
          <w:rFonts w:ascii="Trebuchet MS" w:hAnsi="Trebuchet MS" w:cs="Arial"/>
          <w:color w:val="5F5F5F"/>
          <w:sz w:val="20"/>
          <w:szCs w:val="20"/>
        </w:rPr>
        <w:t>alto</w:t>
      </w:r>
      <w:r>
        <w:rPr>
          <w:rFonts w:ascii="Trebuchet MS" w:hAnsi="Trebuchet MS" w:cs="Arial"/>
          <w:color w:val="5F5F5F"/>
          <w:sz w:val="20"/>
          <w:szCs w:val="20"/>
        </w:rPr>
        <w:t xml:space="preserve"> rispetto al dato nazionale (20,8%). La comunità </w:t>
      </w:r>
      <w:r w:rsidR="00FC7D06">
        <w:rPr>
          <w:rFonts w:ascii="Trebuchet MS" w:hAnsi="Trebuchet MS" w:cs="Arial"/>
          <w:color w:val="5F5F5F"/>
          <w:sz w:val="20"/>
          <w:szCs w:val="20"/>
        </w:rPr>
        <w:t>albanese</w:t>
      </w:r>
      <w:r>
        <w:rPr>
          <w:rFonts w:ascii="Trebuchet MS" w:hAnsi="Trebuchet MS" w:cs="Arial"/>
          <w:color w:val="5F5F5F"/>
          <w:sz w:val="20"/>
          <w:szCs w:val="20"/>
        </w:rPr>
        <w:t xml:space="preserve">, seconda per numero assoluto di individui dimoranti abitualmente, </w:t>
      </w:r>
      <w:r w:rsidR="008A6D47">
        <w:rPr>
          <w:rFonts w:ascii="Trebuchet MS" w:hAnsi="Trebuchet MS" w:cs="Arial"/>
          <w:color w:val="5F5F5F"/>
          <w:sz w:val="20"/>
          <w:szCs w:val="20"/>
        </w:rPr>
        <w:t>rappresenta</w:t>
      </w:r>
      <w:r>
        <w:rPr>
          <w:rFonts w:ascii="Trebuchet MS" w:hAnsi="Trebuchet MS" w:cs="Arial"/>
          <w:color w:val="5F5F5F"/>
          <w:sz w:val="20"/>
          <w:szCs w:val="20"/>
        </w:rPr>
        <w:t xml:space="preserve"> </w:t>
      </w:r>
      <w:r w:rsidR="008A6D47">
        <w:rPr>
          <w:rFonts w:ascii="Trebuchet MS" w:hAnsi="Trebuchet MS" w:cs="Arial"/>
          <w:color w:val="5F5F5F"/>
          <w:sz w:val="20"/>
          <w:szCs w:val="20"/>
        </w:rPr>
        <w:t>i</w:t>
      </w:r>
      <w:r>
        <w:rPr>
          <w:rFonts w:ascii="Trebuchet MS" w:hAnsi="Trebuchet MS" w:cs="Arial"/>
          <w:color w:val="5F5F5F"/>
          <w:sz w:val="20"/>
          <w:szCs w:val="20"/>
        </w:rPr>
        <w:t>l 1</w:t>
      </w:r>
      <w:r w:rsidR="00FC7D06">
        <w:rPr>
          <w:rFonts w:ascii="Trebuchet MS" w:hAnsi="Trebuchet MS" w:cs="Arial"/>
          <w:color w:val="5F5F5F"/>
          <w:sz w:val="20"/>
          <w:szCs w:val="20"/>
        </w:rPr>
        <w:t>0</w:t>
      </w:r>
      <w:r>
        <w:rPr>
          <w:rFonts w:ascii="Trebuchet MS" w:hAnsi="Trebuchet MS" w:cs="Arial"/>
          <w:color w:val="5F5F5F"/>
          <w:sz w:val="20"/>
          <w:szCs w:val="20"/>
        </w:rPr>
        <w:t>,</w:t>
      </w:r>
      <w:r w:rsidR="00FC7D06">
        <w:rPr>
          <w:rFonts w:ascii="Trebuchet MS" w:hAnsi="Trebuchet MS" w:cs="Arial"/>
          <w:color w:val="5F5F5F"/>
          <w:sz w:val="20"/>
          <w:szCs w:val="20"/>
        </w:rPr>
        <w:t>6</w:t>
      </w:r>
      <w:r>
        <w:rPr>
          <w:rFonts w:ascii="Trebuchet MS" w:hAnsi="Trebuchet MS" w:cs="Arial"/>
          <w:color w:val="5F5F5F"/>
          <w:sz w:val="20"/>
          <w:szCs w:val="20"/>
        </w:rPr>
        <w:t>% del</w:t>
      </w:r>
      <w:r w:rsidR="008A6D47">
        <w:rPr>
          <w:rFonts w:ascii="Trebuchet MS" w:hAnsi="Trebuchet MS" w:cs="Arial"/>
          <w:color w:val="5F5F5F"/>
          <w:sz w:val="20"/>
          <w:szCs w:val="20"/>
        </w:rPr>
        <w:t xml:space="preserve">la popolazione </w:t>
      </w:r>
      <w:r w:rsidR="00E77827">
        <w:rPr>
          <w:rFonts w:ascii="Trebuchet MS" w:hAnsi="Trebuchet MS" w:cs="Arial"/>
          <w:color w:val="5F5F5F"/>
          <w:sz w:val="20"/>
          <w:szCs w:val="20"/>
        </w:rPr>
        <w:t xml:space="preserve">straniera </w:t>
      </w:r>
      <w:r w:rsidR="008A6D47">
        <w:rPr>
          <w:rFonts w:ascii="Trebuchet MS" w:hAnsi="Trebuchet MS" w:cs="Arial"/>
          <w:color w:val="5F5F5F"/>
          <w:sz w:val="20"/>
          <w:szCs w:val="20"/>
        </w:rPr>
        <w:t>regionale</w:t>
      </w:r>
      <w:r w:rsidR="00593959">
        <w:rPr>
          <w:rFonts w:ascii="Trebuchet MS" w:hAnsi="Trebuchet MS" w:cs="Arial"/>
          <w:color w:val="5F5F5F"/>
          <w:sz w:val="20"/>
          <w:szCs w:val="20"/>
        </w:rPr>
        <w:t xml:space="preserve"> </w:t>
      </w:r>
      <w:r w:rsidR="008647E4">
        <w:rPr>
          <w:rFonts w:ascii="Trebuchet MS" w:hAnsi="Trebuchet MS" w:cs="Arial"/>
          <w:color w:val="5F5F5F"/>
          <w:sz w:val="20"/>
          <w:szCs w:val="20"/>
        </w:rPr>
        <w:t>contro</w:t>
      </w:r>
      <w:r w:rsidR="008A6D47">
        <w:rPr>
          <w:rFonts w:ascii="Trebuchet MS" w:hAnsi="Trebuchet MS" w:cs="Arial"/>
          <w:color w:val="5F5F5F"/>
          <w:sz w:val="20"/>
          <w:szCs w:val="20"/>
        </w:rPr>
        <w:t xml:space="preserve"> </w:t>
      </w:r>
      <w:r w:rsidR="00FC7D06">
        <w:rPr>
          <w:rFonts w:ascii="Trebuchet MS" w:hAnsi="Trebuchet MS" w:cs="Arial"/>
          <w:color w:val="5F5F5F"/>
          <w:sz w:val="20"/>
          <w:szCs w:val="20"/>
        </w:rPr>
        <w:t>l’8,4</w:t>
      </w:r>
      <w:r>
        <w:rPr>
          <w:rFonts w:ascii="Trebuchet MS" w:hAnsi="Trebuchet MS" w:cs="Arial"/>
          <w:color w:val="5F5F5F"/>
          <w:sz w:val="20"/>
          <w:szCs w:val="20"/>
        </w:rPr>
        <w:t xml:space="preserve">% </w:t>
      </w:r>
      <w:r w:rsidR="003A0F52">
        <w:rPr>
          <w:rFonts w:ascii="Trebuchet MS" w:hAnsi="Trebuchet MS" w:cs="Arial"/>
          <w:color w:val="5F5F5F"/>
          <w:sz w:val="20"/>
          <w:szCs w:val="20"/>
        </w:rPr>
        <w:t>a livello nazionale</w:t>
      </w:r>
      <w:r>
        <w:rPr>
          <w:rFonts w:ascii="Trebuchet MS" w:hAnsi="Trebuchet MS" w:cs="Arial"/>
          <w:color w:val="5F5F5F"/>
          <w:sz w:val="20"/>
          <w:szCs w:val="20"/>
        </w:rPr>
        <w:t xml:space="preserve">. </w:t>
      </w:r>
      <w:r w:rsidR="00570DC8">
        <w:rPr>
          <w:rFonts w:ascii="Trebuchet MS" w:hAnsi="Trebuchet MS" w:cs="Arial"/>
          <w:color w:val="5F5F5F"/>
          <w:sz w:val="20"/>
          <w:szCs w:val="20"/>
        </w:rPr>
        <w:t>L</w:t>
      </w:r>
      <w:r>
        <w:rPr>
          <w:rFonts w:ascii="Trebuchet MS" w:hAnsi="Trebuchet MS" w:cs="Arial"/>
          <w:color w:val="5F5F5F"/>
          <w:sz w:val="20"/>
          <w:szCs w:val="20"/>
        </w:rPr>
        <w:t xml:space="preserve">a comunità </w:t>
      </w:r>
      <w:r w:rsidR="00FC7D06">
        <w:rPr>
          <w:rFonts w:ascii="Trebuchet MS" w:hAnsi="Trebuchet MS" w:cs="Arial"/>
          <w:color w:val="5F5F5F"/>
          <w:sz w:val="20"/>
          <w:szCs w:val="20"/>
        </w:rPr>
        <w:t>marocchina</w:t>
      </w:r>
      <w:r>
        <w:rPr>
          <w:rFonts w:ascii="Trebuchet MS" w:hAnsi="Trebuchet MS" w:cs="Arial"/>
          <w:color w:val="5F5F5F"/>
          <w:sz w:val="20"/>
          <w:szCs w:val="20"/>
        </w:rPr>
        <w:t xml:space="preserve"> presenta in regione un’incidenza </w:t>
      </w:r>
      <w:r w:rsidR="00570DC8">
        <w:rPr>
          <w:rFonts w:ascii="Trebuchet MS" w:hAnsi="Trebuchet MS" w:cs="Arial"/>
          <w:color w:val="5F5F5F"/>
          <w:sz w:val="20"/>
          <w:szCs w:val="20"/>
        </w:rPr>
        <w:t>in linea con i</w:t>
      </w:r>
      <w:r>
        <w:rPr>
          <w:rFonts w:ascii="Trebuchet MS" w:hAnsi="Trebuchet MS" w:cs="Arial"/>
          <w:color w:val="5F5F5F"/>
          <w:sz w:val="20"/>
          <w:szCs w:val="20"/>
        </w:rPr>
        <w:t>l dato nazionale</w:t>
      </w:r>
      <w:r w:rsidR="000907AD">
        <w:rPr>
          <w:rFonts w:ascii="Trebuchet MS" w:hAnsi="Trebuchet MS" w:cs="Arial"/>
          <w:color w:val="5F5F5F"/>
          <w:sz w:val="20"/>
          <w:szCs w:val="20"/>
        </w:rPr>
        <w:t xml:space="preserve">, </w:t>
      </w:r>
      <w:r w:rsidR="00570DC8">
        <w:rPr>
          <w:rFonts w:ascii="Trebuchet MS" w:hAnsi="Trebuchet MS" w:cs="Arial"/>
          <w:color w:val="5F5F5F"/>
          <w:sz w:val="20"/>
          <w:szCs w:val="20"/>
        </w:rPr>
        <w:t>8,6</w:t>
      </w:r>
      <w:r>
        <w:rPr>
          <w:rFonts w:ascii="Trebuchet MS" w:hAnsi="Trebuchet MS" w:cs="Arial"/>
          <w:color w:val="5F5F5F"/>
          <w:sz w:val="20"/>
          <w:szCs w:val="20"/>
        </w:rPr>
        <w:t xml:space="preserve">% </w:t>
      </w:r>
      <w:r w:rsidR="008A6D47">
        <w:rPr>
          <w:rFonts w:ascii="Trebuchet MS" w:hAnsi="Trebuchet MS" w:cs="Arial"/>
          <w:color w:val="5F5F5F"/>
          <w:sz w:val="20"/>
          <w:szCs w:val="20"/>
        </w:rPr>
        <w:t>contro</w:t>
      </w:r>
      <w:r>
        <w:rPr>
          <w:rFonts w:ascii="Trebuchet MS" w:hAnsi="Trebuchet MS" w:cs="Arial"/>
          <w:color w:val="5F5F5F"/>
          <w:sz w:val="20"/>
          <w:szCs w:val="20"/>
        </w:rPr>
        <w:t xml:space="preserve"> 8,</w:t>
      </w:r>
      <w:r w:rsidR="00570DC8">
        <w:rPr>
          <w:rFonts w:ascii="Trebuchet MS" w:hAnsi="Trebuchet MS" w:cs="Arial"/>
          <w:color w:val="5F5F5F"/>
          <w:sz w:val="20"/>
          <w:szCs w:val="20"/>
        </w:rPr>
        <w:t>3</w:t>
      </w:r>
      <w:r>
        <w:rPr>
          <w:rFonts w:ascii="Trebuchet MS" w:hAnsi="Trebuchet MS" w:cs="Arial"/>
          <w:color w:val="5F5F5F"/>
          <w:sz w:val="20"/>
          <w:szCs w:val="20"/>
        </w:rPr>
        <w:t>%</w:t>
      </w:r>
      <w:r w:rsidR="000907AD">
        <w:rPr>
          <w:rFonts w:ascii="Trebuchet MS" w:hAnsi="Trebuchet MS" w:cs="Arial"/>
          <w:color w:val="5F5F5F"/>
          <w:sz w:val="20"/>
          <w:szCs w:val="20"/>
        </w:rPr>
        <w:t xml:space="preserve"> (Figura 3</w:t>
      </w:r>
      <w:r w:rsidR="008A6D47">
        <w:rPr>
          <w:rFonts w:ascii="Trebuchet MS" w:hAnsi="Trebuchet MS" w:cs="Arial"/>
          <w:color w:val="5F5F5F"/>
          <w:sz w:val="20"/>
          <w:szCs w:val="20"/>
        </w:rPr>
        <w:t>)</w:t>
      </w:r>
      <w:r>
        <w:rPr>
          <w:rFonts w:ascii="Trebuchet MS" w:hAnsi="Trebuchet MS" w:cs="Arial"/>
          <w:color w:val="5F5F5F"/>
          <w:sz w:val="20"/>
          <w:szCs w:val="20"/>
        </w:rPr>
        <w:t>.</w:t>
      </w:r>
    </w:p>
    <w:p w14:paraId="1CBBF3B7" w14:textId="77777777" w:rsidR="00681666" w:rsidRPr="003B71FA" w:rsidRDefault="00681666" w:rsidP="00BB0936">
      <w:pPr>
        <w:tabs>
          <w:tab w:val="left" w:pos="567"/>
        </w:tabs>
        <w:spacing w:before="120" w:after="120"/>
        <w:jc w:val="both"/>
        <w:rPr>
          <w:rFonts w:ascii="Trebuchet MS" w:hAnsi="Trebuchet MS" w:cs="Arial"/>
          <w:color w:val="5F5F5F"/>
          <w:sz w:val="20"/>
          <w:szCs w:val="20"/>
        </w:rPr>
      </w:pPr>
    </w:p>
    <w:p w14:paraId="0020D0D0" w14:textId="048E30E2" w:rsidR="00BB0936" w:rsidRDefault="00BB0936" w:rsidP="00BB0936">
      <w:pPr>
        <w:keepNext/>
        <w:spacing w:after="60"/>
        <w:jc w:val="both"/>
        <w:rPr>
          <w:rFonts w:ascii="Arial Narrow" w:hAnsi="Arial Narrow"/>
          <w:color w:val="595959" w:themeColor="text1" w:themeTint="A6"/>
          <w:sz w:val="22"/>
          <w:szCs w:val="22"/>
        </w:rPr>
      </w:pPr>
      <w:r w:rsidRPr="00710C34">
        <w:rPr>
          <w:rFonts w:ascii="Arial Narrow" w:hAnsi="Arial Narrow"/>
          <w:b/>
          <w:bCs/>
          <w:color w:val="595959" w:themeColor="text1" w:themeTint="A6"/>
          <w:sz w:val="22"/>
          <w:szCs w:val="22"/>
        </w:rPr>
        <w:t xml:space="preserve">FIGURA </w:t>
      </w:r>
      <w:r w:rsidR="000E7CDD">
        <w:rPr>
          <w:rFonts w:ascii="Arial Narrow" w:hAnsi="Arial Narrow"/>
          <w:b/>
          <w:bCs/>
          <w:color w:val="595959" w:themeColor="text1" w:themeTint="A6"/>
          <w:sz w:val="22"/>
          <w:szCs w:val="22"/>
        </w:rPr>
        <w:t>3</w:t>
      </w:r>
      <w:r w:rsidRPr="00710C34">
        <w:rPr>
          <w:rFonts w:ascii="Arial Narrow" w:hAnsi="Arial Narrow"/>
          <w:b/>
          <w:bCs/>
          <w:color w:val="595959" w:themeColor="text1" w:themeTint="A6"/>
          <w:sz w:val="22"/>
          <w:szCs w:val="22"/>
        </w:rPr>
        <w:t>.</w:t>
      </w:r>
      <w:r w:rsidRPr="00710C34">
        <w:rPr>
          <w:rFonts w:ascii="Arial Narrow" w:hAnsi="Arial Narrow" w:cs="Calibri"/>
          <w:b/>
          <w:bCs/>
          <w:color w:val="595959" w:themeColor="text1" w:themeTint="A6"/>
          <w:sz w:val="22"/>
          <w:szCs w:val="22"/>
        </w:rPr>
        <w:t xml:space="preserve"> </w:t>
      </w:r>
      <w:r w:rsidRPr="00710C34">
        <w:rPr>
          <w:rFonts w:ascii="Arial Narrow" w:hAnsi="Arial Narrow"/>
          <w:color w:val="595959" w:themeColor="text1" w:themeTint="A6"/>
          <w:sz w:val="22"/>
          <w:szCs w:val="22"/>
        </w:rPr>
        <w:t xml:space="preserve">POPOLAZIONE STRANIERA PER CITTADINANZA, </w:t>
      </w:r>
      <w:r w:rsidR="000351AB">
        <w:rPr>
          <w:rFonts w:ascii="Arial Narrow" w:hAnsi="Arial Narrow"/>
          <w:color w:val="595959" w:themeColor="text1" w:themeTint="A6"/>
          <w:sz w:val="22"/>
          <w:szCs w:val="22"/>
        </w:rPr>
        <w:t xml:space="preserve">BASILICATA </w:t>
      </w:r>
      <w:r w:rsidRPr="00710C34">
        <w:rPr>
          <w:rFonts w:ascii="Arial Narrow" w:hAnsi="Arial Narrow"/>
          <w:color w:val="595959" w:themeColor="text1" w:themeTint="A6"/>
          <w:sz w:val="22"/>
          <w:szCs w:val="22"/>
        </w:rPr>
        <w:t>e ITALIA</w:t>
      </w:r>
      <w:r w:rsidRPr="00710C34">
        <w:rPr>
          <w:rFonts w:ascii="Arial Narrow" w:hAnsi="Arial Narrow" w:cs="Calibri"/>
          <w:color w:val="595959" w:themeColor="text1" w:themeTint="A6"/>
          <w:sz w:val="22"/>
          <w:szCs w:val="22"/>
        </w:rPr>
        <w:t>.</w:t>
      </w:r>
      <w:r>
        <w:rPr>
          <w:rFonts w:ascii="Arial Narrow" w:hAnsi="Arial Narrow" w:cs="Calibri"/>
          <w:color w:val="595959" w:themeColor="text1" w:themeTint="A6"/>
          <w:sz w:val="22"/>
          <w:szCs w:val="22"/>
        </w:rPr>
        <w:t xml:space="preserve"> </w:t>
      </w:r>
      <w:r>
        <w:rPr>
          <w:rFonts w:ascii="Arial Narrow" w:hAnsi="Arial Narrow"/>
          <w:color w:val="595959" w:themeColor="text1" w:themeTint="A6"/>
          <w:sz w:val="22"/>
          <w:szCs w:val="22"/>
        </w:rPr>
        <w:t xml:space="preserve">Censimento 2020. </w:t>
      </w:r>
      <w:r w:rsidR="00F13D9F">
        <w:rPr>
          <w:rFonts w:ascii="Arial Narrow" w:hAnsi="Arial Narrow"/>
          <w:color w:val="595959" w:themeColor="text1" w:themeTint="A6"/>
          <w:sz w:val="22"/>
          <w:szCs w:val="22"/>
        </w:rPr>
        <w:t>V</w:t>
      </w:r>
      <w:r w:rsidRPr="00E76A40">
        <w:rPr>
          <w:rFonts w:ascii="Arial Narrow" w:hAnsi="Arial Narrow"/>
          <w:color w:val="595959" w:themeColor="text1" w:themeTint="A6"/>
          <w:sz w:val="22"/>
          <w:szCs w:val="22"/>
        </w:rPr>
        <w:t>alori percentuali</w:t>
      </w:r>
      <w:r>
        <w:rPr>
          <w:rFonts w:ascii="Arial Narrow" w:hAnsi="Arial Narrow"/>
          <w:color w:val="595959" w:themeColor="text1" w:themeTint="A6"/>
          <w:sz w:val="22"/>
          <w:szCs w:val="22"/>
        </w:rPr>
        <w:t xml:space="preserve"> </w:t>
      </w:r>
      <w:r w:rsidRPr="00710C34">
        <w:rPr>
          <w:rFonts w:ascii="Arial Narrow" w:hAnsi="Arial Narrow"/>
          <w:color w:val="595959" w:themeColor="text1" w:themeTint="A6"/>
          <w:sz w:val="22"/>
          <w:szCs w:val="22"/>
        </w:rPr>
        <w:t>per le prime dieci cittadinanze</w:t>
      </w:r>
    </w:p>
    <w:p w14:paraId="5DF61402" w14:textId="64FC1EA6" w:rsidR="00957EB4" w:rsidRPr="00710C34" w:rsidRDefault="00957EB4" w:rsidP="00BB0936">
      <w:pPr>
        <w:keepNext/>
        <w:spacing w:after="60"/>
        <w:jc w:val="both"/>
        <w:rPr>
          <w:rFonts w:ascii="Arial Narrow" w:hAnsi="Arial Narrow"/>
          <w:color w:val="595959" w:themeColor="text1" w:themeTint="A6"/>
          <w:sz w:val="22"/>
          <w:szCs w:val="22"/>
        </w:rPr>
      </w:pPr>
      <w:r>
        <w:rPr>
          <w:noProof/>
        </w:rPr>
        <w:drawing>
          <wp:inline distT="0" distB="0" distL="0" distR="0" wp14:anchorId="3730AA7C" wp14:editId="04D90BD0">
            <wp:extent cx="6120000" cy="2160000"/>
            <wp:effectExtent l="0" t="0" r="14605" b="12065"/>
            <wp:docPr id="7" name="Grafico 7">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5C7D8D" w14:textId="7316B270" w:rsidR="005B0778" w:rsidRDefault="005B0778" w:rsidP="005B0778">
      <w:pPr>
        <w:spacing w:after="120"/>
        <w:jc w:val="both"/>
        <w:rPr>
          <w:rFonts w:ascii="Trebuchet MS" w:hAnsi="Trebuchet MS" w:cs="Arial"/>
          <w:b/>
          <w:color w:val="5F5F5F"/>
          <w:kern w:val="28"/>
          <w:sz w:val="22"/>
          <w:szCs w:val="22"/>
        </w:rPr>
      </w:pPr>
    </w:p>
    <w:p w14:paraId="5FBC8D9D" w14:textId="77777777" w:rsidR="008C7BC5" w:rsidRPr="00A64018" w:rsidRDefault="008C7BC5" w:rsidP="005B0778">
      <w:pPr>
        <w:spacing w:after="120"/>
        <w:jc w:val="both"/>
        <w:rPr>
          <w:rFonts w:ascii="Trebuchet MS" w:hAnsi="Trebuchet MS" w:cs="Arial"/>
          <w:b/>
          <w:color w:val="5F5F5F"/>
          <w:kern w:val="28"/>
          <w:sz w:val="12"/>
          <w:szCs w:val="12"/>
        </w:rPr>
      </w:pPr>
    </w:p>
    <w:p w14:paraId="523D42B7" w14:textId="217E0FF2" w:rsidR="00647C98" w:rsidRDefault="008C7BC5" w:rsidP="005B0778">
      <w:pPr>
        <w:spacing w:after="120"/>
        <w:jc w:val="both"/>
        <w:rPr>
          <w:rFonts w:ascii="Trebuchet MS" w:hAnsi="Trebuchet MS" w:cs="Arial"/>
          <w:b/>
          <w:color w:val="5F5F5F"/>
          <w:kern w:val="28"/>
          <w:sz w:val="22"/>
          <w:szCs w:val="22"/>
        </w:rPr>
      </w:pPr>
      <w:r w:rsidRPr="007E75F4">
        <w:rPr>
          <w:rFonts w:ascii="Trebuchet MS" w:hAnsi="Trebuchet MS" w:cs="Arial"/>
          <w:b/>
          <w:color w:val="5F5F5F"/>
          <w:kern w:val="28"/>
          <w:sz w:val="22"/>
          <w:szCs w:val="22"/>
        </w:rPr>
        <w:t>C</w:t>
      </w:r>
      <w:r w:rsidR="000907AD" w:rsidRPr="007E75F4">
        <w:rPr>
          <w:rFonts w:ascii="Trebuchet MS" w:hAnsi="Trebuchet MS" w:cs="Arial"/>
          <w:b/>
          <w:color w:val="5F5F5F"/>
          <w:kern w:val="28"/>
          <w:sz w:val="22"/>
          <w:szCs w:val="22"/>
        </w:rPr>
        <w:t>aratteristiche delle famiglie</w:t>
      </w:r>
      <w:r w:rsidR="00FF54A8">
        <w:rPr>
          <w:rFonts w:ascii="Trebuchet MS" w:hAnsi="Trebuchet MS" w:cs="Arial"/>
          <w:b/>
          <w:color w:val="5F5F5F"/>
          <w:kern w:val="28"/>
          <w:sz w:val="22"/>
          <w:szCs w:val="22"/>
        </w:rPr>
        <w:t xml:space="preserve"> </w:t>
      </w:r>
    </w:p>
    <w:p w14:paraId="68DC0998" w14:textId="7CC664C6" w:rsidR="00EA2CE6" w:rsidRDefault="00F72E09" w:rsidP="00725AAF">
      <w:pPr>
        <w:tabs>
          <w:tab w:val="left" w:pos="567"/>
        </w:tabs>
        <w:spacing w:after="120"/>
        <w:jc w:val="both"/>
        <w:rPr>
          <w:rFonts w:ascii="Trebuchet MS" w:hAnsi="Trebuchet MS" w:cs="Arial"/>
          <w:color w:val="5F5F5F"/>
          <w:sz w:val="20"/>
          <w:szCs w:val="20"/>
        </w:rPr>
      </w:pPr>
      <w:r>
        <w:rPr>
          <w:rFonts w:ascii="Trebuchet MS" w:hAnsi="Trebuchet MS" w:cs="Arial"/>
          <w:color w:val="5F5F5F"/>
          <w:sz w:val="20"/>
          <w:szCs w:val="20"/>
        </w:rPr>
        <w:t>Al 31</w:t>
      </w:r>
      <w:r w:rsidR="004E526C">
        <w:rPr>
          <w:rFonts w:ascii="Trebuchet MS" w:hAnsi="Trebuchet MS" w:cs="Arial"/>
          <w:color w:val="5F5F5F"/>
          <w:sz w:val="20"/>
          <w:szCs w:val="20"/>
        </w:rPr>
        <w:t xml:space="preserve"> dicembre 2019</w:t>
      </w:r>
      <w:r>
        <w:rPr>
          <w:rFonts w:ascii="Trebuchet MS" w:hAnsi="Trebuchet MS" w:cs="Arial"/>
          <w:color w:val="5F5F5F"/>
          <w:sz w:val="20"/>
          <w:szCs w:val="20"/>
        </w:rPr>
        <w:t xml:space="preserve"> </w:t>
      </w:r>
      <w:r w:rsidR="004E526C">
        <w:rPr>
          <w:rFonts w:ascii="Trebuchet MS" w:hAnsi="Trebuchet MS" w:cs="Arial"/>
          <w:color w:val="5F5F5F"/>
          <w:sz w:val="20"/>
          <w:szCs w:val="20"/>
        </w:rPr>
        <w:t xml:space="preserve">vivono </w:t>
      </w:r>
      <w:r>
        <w:rPr>
          <w:rFonts w:ascii="Trebuchet MS" w:hAnsi="Trebuchet MS" w:cs="Arial"/>
          <w:color w:val="5F5F5F"/>
          <w:sz w:val="20"/>
          <w:szCs w:val="20"/>
        </w:rPr>
        <w:t xml:space="preserve">in </w:t>
      </w:r>
      <w:r w:rsidR="007F6D01">
        <w:rPr>
          <w:rFonts w:ascii="Trebuchet MS" w:hAnsi="Trebuchet MS" w:cs="Arial"/>
          <w:color w:val="5F5F5F"/>
          <w:sz w:val="20"/>
          <w:szCs w:val="20"/>
        </w:rPr>
        <w:t>Basilicata</w:t>
      </w:r>
      <w:r>
        <w:rPr>
          <w:rFonts w:ascii="Trebuchet MS" w:hAnsi="Trebuchet MS" w:cs="Arial"/>
          <w:color w:val="5F5F5F"/>
          <w:sz w:val="20"/>
          <w:szCs w:val="20"/>
        </w:rPr>
        <w:t xml:space="preserve"> </w:t>
      </w:r>
      <w:r w:rsidR="007F6D01">
        <w:rPr>
          <w:rFonts w:ascii="Trebuchet MS" w:hAnsi="Trebuchet MS" w:cs="Arial"/>
          <w:color w:val="5F5F5F"/>
          <w:sz w:val="20"/>
          <w:szCs w:val="20"/>
        </w:rPr>
        <w:t>235.246</w:t>
      </w:r>
      <w:r w:rsidR="004E526C">
        <w:rPr>
          <w:rFonts w:ascii="Trebuchet MS" w:hAnsi="Trebuchet MS" w:cs="Arial"/>
          <w:color w:val="5F5F5F"/>
          <w:sz w:val="20"/>
          <w:szCs w:val="20"/>
        </w:rPr>
        <w:t xml:space="preserve"> famiglie</w:t>
      </w:r>
      <w:r>
        <w:rPr>
          <w:rFonts w:ascii="Trebuchet MS" w:hAnsi="Trebuchet MS" w:cs="Arial"/>
          <w:color w:val="5F5F5F"/>
          <w:sz w:val="20"/>
          <w:szCs w:val="20"/>
        </w:rPr>
        <w:t>,</w:t>
      </w:r>
      <w:r w:rsidR="00725AAF">
        <w:rPr>
          <w:rFonts w:ascii="Trebuchet MS" w:hAnsi="Trebuchet MS" w:cs="Arial"/>
          <w:color w:val="5F5F5F"/>
          <w:sz w:val="20"/>
          <w:szCs w:val="20"/>
        </w:rPr>
        <w:t xml:space="preserve"> </w:t>
      </w:r>
      <w:r w:rsidR="004E526C">
        <w:rPr>
          <w:rFonts w:ascii="Trebuchet MS" w:hAnsi="Trebuchet MS" w:cs="Arial"/>
          <w:color w:val="5F5F5F"/>
          <w:sz w:val="20"/>
          <w:szCs w:val="20"/>
        </w:rPr>
        <w:t xml:space="preserve">lo </w:t>
      </w:r>
      <w:r w:rsidR="00725AAF">
        <w:rPr>
          <w:rFonts w:ascii="Trebuchet MS" w:hAnsi="Trebuchet MS" w:cs="Arial"/>
          <w:color w:val="5F5F5F"/>
          <w:sz w:val="20"/>
          <w:szCs w:val="20"/>
        </w:rPr>
        <w:t>0,</w:t>
      </w:r>
      <w:r w:rsidR="007F6D01">
        <w:rPr>
          <w:rFonts w:ascii="Trebuchet MS" w:hAnsi="Trebuchet MS" w:cs="Arial"/>
          <w:color w:val="5F5F5F"/>
          <w:sz w:val="20"/>
          <w:szCs w:val="20"/>
        </w:rPr>
        <w:t>2</w:t>
      </w:r>
      <w:r w:rsidR="00725AAF">
        <w:rPr>
          <w:rFonts w:ascii="Trebuchet MS" w:hAnsi="Trebuchet MS" w:cs="Arial"/>
          <w:color w:val="5F5F5F"/>
          <w:sz w:val="20"/>
          <w:szCs w:val="20"/>
        </w:rPr>
        <w:t xml:space="preserve">% </w:t>
      </w:r>
      <w:r w:rsidR="004E526C">
        <w:rPr>
          <w:rFonts w:ascii="Trebuchet MS" w:hAnsi="Trebuchet MS" w:cs="Arial"/>
          <w:color w:val="5F5F5F"/>
          <w:sz w:val="20"/>
          <w:szCs w:val="20"/>
        </w:rPr>
        <w:t>in più dell’</w:t>
      </w:r>
      <w:r w:rsidR="000907AD">
        <w:rPr>
          <w:rFonts w:ascii="Trebuchet MS" w:hAnsi="Trebuchet MS" w:cs="Arial"/>
          <w:color w:val="5F5F5F"/>
          <w:sz w:val="20"/>
          <w:szCs w:val="20"/>
        </w:rPr>
        <w:t xml:space="preserve">anno precedente (+0,5% </w:t>
      </w:r>
      <w:r w:rsidR="00725AAF">
        <w:rPr>
          <w:rFonts w:ascii="Trebuchet MS" w:hAnsi="Trebuchet MS" w:cs="Arial"/>
          <w:color w:val="5F5F5F"/>
          <w:sz w:val="20"/>
          <w:szCs w:val="20"/>
        </w:rPr>
        <w:t>il dato nazionale).</w:t>
      </w:r>
      <w:r w:rsidR="00EA2CE6">
        <w:rPr>
          <w:rFonts w:ascii="Trebuchet MS" w:hAnsi="Trebuchet MS" w:cs="Arial"/>
          <w:color w:val="5F5F5F"/>
          <w:sz w:val="20"/>
          <w:szCs w:val="20"/>
        </w:rPr>
        <w:t xml:space="preserve"> Il numero medio di componenti per famiglia è </w:t>
      </w:r>
      <w:r w:rsidR="00725AAF">
        <w:rPr>
          <w:rFonts w:ascii="Trebuchet MS" w:hAnsi="Trebuchet MS" w:cs="Arial"/>
          <w:color w:val="5F5F5F"/>
          <w:sz w:val="20"/>
          <w:szCs w:val="20"/>
        </w:rPr>
        <w:t>di</w:t>
      </w:r>
      <w:r w:rsidR="00EA2CE6">
        <w:rPr>
          <w:rFonts w:ascii="Trebuchet MS" w:hAnsi="Trebuchet MS" w:cs="Arial"/>
          <w:color w:val="5F5F5F"/>
          <w:sz w:val="20"/>
          <w:szCs w:val="20"/>
        </w:rPr>
        <w:t xml:space="preserve"> 2,</w:t>
      </w:r>
      <w:r w:rsidR="007F6D01">
        <w:rPr>
          <w:rFonts w:ascii="Trebuchet MS" w:hAnsi="Trebuchet MS" w:cs="Arial"/>
          <w:color w:val="5F5F5F"/>
          <w:sz w:val="20"/>
          <w:szCs w:val="20"/>
        </w:rPr>
        <w:t>3</w:t>
      </w:r>
      <w:r w:rsidR="00EA2CE6">
        <w:rPr>
          <w:rFonts w:ascii="Trebuchet MS" w:hAnsi="Trebuchet MS" w:cs="Arial"/>
          <w:color w:val="5F5F5F"/>
          <w:sz w:val="20"/>
          <w:szCs w:val="20"/>
        </w:rPr>
        <w:t xml:space="preserve"> </w:t>
      </w:r>
      <w:r w:rsidR="00725AAF">
        <w:rPr>
          <w:rFonts w:ascii="Trebuchet MS" w:hAnsi="Trebuchet MS" w:cs="Arial"/>
          <w:color w:val="5F5F5F"/>
          <w:sz w:val="20"/>
          <w:szCs w:val="20"/>
        </w:rPr>
        <w:t>unità</w:t>
      </w:r>
      <w:r w:rsidR="00EA2CE6">
        <w:rPr>
          <w:rFonts w:ascii="Trebuchet MS" w:hAnsi="Trebuchet MS" w:cs="Arial"/>
          <w:color w:val="5F5F5F"/>
          <w:sz w:val="20"/>
          <w:szCs w:val="20"/>
        </w:rPr>
        <w:t xml:space="preserve">, </w:t>
      </w:r>
      <w:r w:rsidR="007F6D01">
        <w:rPr>
          <w:rFonts w:ascii="Trebuchet MS" w:hAnsi="Trebuchet MS" w:cs="Arial"/>
          <w:color w:val="5F5F5F"/>
          <w:sz w:val="20"/>
          <w:szCs w:val="20"/>
        </w:rPr>
        <w:t>valore in linea con la</w:t>
      </w:r>
      <w:r w:rsidR="00725AAF">
        <w:rPr>
          <w:rFonts w:ascii="Trebuchet MS" w:hAnsi="Trebuchet MS" w:cs="Arial"/>
          <w:color w:val="5F5F5F"/>
          <w:sz w:val="20"/>
          <w:szCs w:val="20"/>
        </w:rPr>
        <w:t xml:space="preserve"> media </w:t>
      </w:r>
      <w:r w:rsidR="00EA2CE6">
        <w:rPr>
          <w:rFonts w:ascii="Trebuchet MS" w:hAnsi="Trebuchet MS" w:cs="Arial"/>
          <w:color w:val="5F5F5F"/>
          <w:sz w:val="20"/>
          <w:szCs w:val="20"/>
        </w:rPr>
        <w:t xml:space="preserve">nazionale </w:t>
      </w:r>
      <w:r w:rsidR="000907AD">
        <w:rPr>
          <w:rFonts w:ascii="Trebuchet MS" w:hAnsi="Trebuchet MS" w:cs="Arial"/>
          <w:color w:val="5F5F5F"/>
          <w:sz w:val="20"/>
          <w:szCs w:val="20"/>
        </w:rPr>
        <w:t>(Prospetto 9)</w:t>
      </w:r>
      <w:r w:rsidR="00EA2CE6">
        <w:rPr>
          <w:rFonts w:ascii="Trebuchet MS" w:hAnsi="Trebuchet MS" w:cs="Arial"/>
          <w:color w:val="5F5F5F"/>
          <w:sz w:val="20"/>
          <w:szCs w:val="20"/>
        </w:rPr>
        <w:t>.</w:t>
      </w:r>
    </w:p>
    <w:p w14:paraId="3AED1461" w14:textId="77777777" w:rsidR="00EA7D77" w:rsidRPr="00EA7D77" w:rsidRDefault="00EA7D77" w:rsidP="00A64018">
      <w:pPr>
        <w:tabs>
          <w:tab w:val="left" w:pos="567"/>
        </w:tabs>
        <w:jc w:val="both"/>
        <w:rPr>
          <w:rFonts w:ascii="Trebuchet MS" w:hAnsi="Trebuchet MS" w:cs="Arial"/>
          <w:color w:val="5F5F5F"/>
          <w:sz w:val="10"/>
          <w:szCs w:val="10"/>
        </w:rPr>
      </w:pPr>
    </w:p>
    <w:p w14:paraId="60EB37B3" w14:textId="77777777" w:rsidR="00EA7D77" w:rsidRDefault="00EA7D77" w:rsidP="00EA7D77">
      <w:pPr>
        <w:spacing w:before="240" w:after="60"/>
        <w:jc w:val="both"/>
        <w:rPr>
          <w:rFonts w:ascii="Arial Narrow" w:hAnsi="Arial Narrow"/>
          <w:bCs/>
          <w:color w:val="595959" w:themeColor="text1" w:themeTint="A6"/>
          <w:sz w:val="22"/>
          <w:szCs w:val="22"/>
        </w:rPr>
      </w:pPr>
      <w:r w:rsidRPr="001A589C">
        <w:rPr>
          <w:rFonts w:ascii="Arial Narrow" w:hAnsi="Arial Narrow"/>
          <w:b/>
          <w:bCs/>
          <w:color w:val="595959" w:themeColor="text1" w:themeTint="A6"/>
          <w:sz w:val="22"/>
          <w:szCs w:val="22"/>
        </w:rPr>
        <w:t xml:space="preserve">PROSPETTO 9. </w:t>
      </w:r>
      <w:r w:rsidRPr="001A589C">
        <w:rPr>
          <w:rFonts w:ascii="Arial Narrow" w:hAnsi="Arial Narrow"/>
          <w:bCs/>
          <w:color w:val="595959" w:themeColor="text1" w:themeTint="A6"/>
          <w:sz w:val="22"/>
          <w:szCs w:val="22"/>
        </w:rPr>
        <w:t>FAMIGLIE PER TIPOLOGIA E CONVIVENZE PER PROVINCIA</w:t>
      </w:r>
      <w:r w:rsidRPr="001A589C">
        <w:rPr>
          <w:rFonts w:ascii="Arial Narrow" w:hAnsi="Arial Narrow"/>
          <w:b/>
          <w:bCs/>
          <w:color w:val="595959" w:themeColor="text1" w:themeTint="A6"/>
          <w:sz w:val="22"/>
          <w:szCs w:val="22"/>
        </w:rPr>
        <w:t xml:space="preserve">. </w:t>
      </w:r>
      <w:r w:rsidRPr="001A589C">
        <w:rPr>
          <w:rFonts w:ascii="Arial Narrow" w:hAnsi="Arial Narrow"/>
          <w:bCs/>
          <w:color w:val="595959" w:themeColor="text1" w:themeTint="A6"/>
          <w:sz w:val="22"/>
          <w:szCs w:val="22"/>
        </w:rPr>
        <w:t xml:space="preserve">Censimento </w:t>
      </w:r>
      <w:r>
        <w:rPr>
          <w:rFonts w:ascii="Arial Narrow" w:hAnsi="Arial Narrow"/>
          <w:bCs/>
          <w:color w:val="595959" w:themeColor="text1" w:themeTint="A6"/>
          <w:sz w:val="22"/>
          <w:szCs w:val="22"/>
        </w:rPr>
        <w:t>2019</w:t>
      </w:r>
      <w:r w:rsidRPr="001A589C">
        <w:rPr>
          <w:rFonts w:ascii="Arial Narrow" w:hAnsi="Arial Narrow"/>
          <w:bCs/>
          <w:color w:val="595959" w:themeColor="text1" w:themeTint="A6"/>
          <w:sz w:val="22"/>
          <w:szCs w:val="22"/>
        </w:rPr>
        <w:t>, valori assoluti e percentuali</w:t>
      </w:r>
    </w:p>
    <w:tbl>
      <w:tblPr>
        <w:tblW w:w="9580" w:type="dxa"/>
        <w:tblCellMar>
          <w:left w:w="70" w:type="dxa"/>
          <w:right w:w="70" w:type="dxa"/>
        </w:tblCellMar>
        <w:tblLook w:val="04A0" w:firstRow="1" w:lastRow="0" w:firstColumn="1" w:lastColumn="0" w:noHBand="0" w:noVBand="1"/>
      </w:tblPr>
      <w:tblGrid>
        <w:gridCol w:w="1080"/>
        <w:gridCol w:w="879"/>
        <w:gridCol w:w="920"/>
        <w:gridCol w:w="1020"/>
        <w:gridCol w:w="860"/>
        <w:gridCol w:w="860"/>
        <w:gridCol w:w="860"/>
        <w:gridCol w:w="860"/>
        <w:gridCol w:w="1180"/>
        <w:gridCol w:w="1100"/>
      </w:tblGrid>
      <w:tr w:rsidR="00D50D5E" w14:paraId="66DFB40A" w14:textId="77777777" w:rsidTr="00D50D5E">
        <w:trPr>
          <w:trHeight w:val="300"/>
        </w:trPr>
        <w:tc>
          <w:tcPr>
            <w:tcW w:w="1080" w:type="dxa"/>
            <w:vMerge w:val="restart"/>
            <w:tcBorders>
              <w:top w:val="single" w:sz="4" w:space="0" w:color="auto"/>
              <w:left w:val="nil"/>
              <w:bottom w:val="single" w:sz="4" w:space="0" w:color="000000"/>
              <w:right w:val="nil"/>
            </w:tcBorders>
            <w:shd w:val="clear" w:color="auto" w:fill="auto"/>
            <w:noWrap/>
            <w:vAlign w:val="center"/>
            <w:hideMark/>
          </w:tcPr>
          <w:p w14:paraId="4A110C60" w14:textId="77777777" w:rsidR="00D50D5E" w:rsidRDefault="00D50D5E">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760" w:type="dxa"/>
            <w:gridSpan w:val="2"/>
            <w:tcBorders>
              <w:top w:val="single" w:sz="4" w:space="0" w:color="auto"/>
              <w:left w:val="nil"/>
              <w:bottom w:val="single" w:sz="4" w:space="0" w:color="auto"/>
              <w:right w:val="nil"/>
            </w:tcBorders>
            <w:shd w:val="clear" w:color="000000" w:fill="D9D9D9"/>
            <w:vAlign w:val="center"/>
            <w:hideMark/>
          </w:tcPr>
          <w:p w14:paraId="0B149A84"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Famiglie</w:t>
            </w:r>
          </w:p>
        </w:tc>
        <w:tc>
          <w:tcPr>
            <w:tcW w:w="4460" w:type="dxa"/>
            <w:gridSpan w:val="5"/>
            <w:tcBorders>
              <w:top w:val="single" w:sz="4" w:space="0" w:color="auto"/>
              <w:left w:val="nil"/>
              <w:bottom w:val="single" w:sz="4" w:space="0" w:color="auto"/>
              <w:right w:val="nil"/>
            </w:tcBorders>
            <w:shd w:val="clear" w:color="000000" w:fill="FFFFFF"/>
            <w:vAlign w:val="center"/>
            <w:hideMark/>
          </w:tcPr>
          <w:p w14:paraId="3078730D"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Componenti</w:t>
            </w:r>
          </w:p>
        </w:tc>
        <w:tc>
          <w:tcPr>
            <w:tcW w:w="2280" w:type="dxa"/>
            <w:gridSpan w:val="2"/>
            <w:tcBorders>
              <w:top w:val="single" w:sz="4" w:space="0" w:color="auto"/>
              <w:left w:val="nil"/>
              <w:bottom w:val="single" w:sz="4" w:space="0" w:color="auto"/>
              <w:right w:val="nil"/>
            </w:tcBorders>
            <w:shd w:val="clear" w:color="000000" w:fill="E7E6E6"/>
            <w:vAlign w:val="center"/>
            <w:hideMark/>
          </w:tcPr>
          <w:p w14:paraId="17E27CF0"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Famiglie con stranieri</w:t>
            </w:r>
          </w:p>
        </w:tc>
      </w:tr>
      <w:tr w:rsidR="00D50D5E" w14:paraId="08DD59D2" w14:textId="77777777" w:rsidTr="00D50D5E">
        <w:trPr>
          <w:trHeight w:val="810"/>
        </w:trPr>
        <w:tc>
          <w:tcPr>
            <w:tcW w:w="1080" w:type="dxa"/>
            <w:vMerge/>
            <w:tcBorders>
              <w:top w:val="single" w:sz="4" w:space="0" w:color="auto"/>
              <w:left w:val="nil"/>
              <w:bottom w:val="single" w:sz="4" w:space="0" w:color="000000"/>
              <w:right w:val="nil"/>
            </w:tcBorders>
            <w:vAlign w:val="center"/>
            <w:hideMark/>
          </w:tcPr>
          <w:p w14:paraId="2F0ACDF5" w14:textId="77777777" w:rsidR="00D50D5E" w:rsidRDefault="00D50D5E">
            <w:pPr>
              <w:rPr>
                <w:rFonts w:ascii="Arial Narrow" w:hAnsi="Arial Narrow" w:cs="Calibri"/>
                <w:b/>
                <w:bCs/>
                <w:color w:val="000000"/>
                <w:sz w:val="18"/>
                <w:szCs w:val="18"/>
              </w:rPr>
            </w:pPr>
          </w:p>
        </w:tc>
        <w:tc>
          <w:tcPr>
            <w:tcW w:w="840" w:type="dxa"/>
            <w:tcBorders>
              <w:top w:val="nil"/>
              <w:left w:val="nil"/>
              <w:bottom w:val="single" w:sz="4" w:space="0" w:color="auto"/>
              <w:right w:val="nil"/>
            </w:tcBorders>
            <w:shd w:val="clear" w:color="auto" w:fill="auto"/>
            <w:vAlign w:val="center"/>
            <w:hideMark/>
          </w:tcPr>
          <w:p w14:paraId="4C8C002D"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Numero</w:t>
            </w:r>
          </w:p>
        </w:tc>
        <w:tc>
          <w:tcPr>
            <w:tcW w:w="920" w:type="dxa"/>
            <w:tcBorders>
              <w:top w:val="nil"/>
              <w:left w:val="nil"/>
              <w:bottom w:val="single" w:sz="4" w:space="0" w:color="auto"/>
              <w:right w:val="nil"/>
            </w:tcBorders>
            <w:shd w:val="clear" w:color="auto" w:fill="auto"/>
            <w:vAlign w:val="center"/>
            <w:hideMark/>
          </w:tcPr>
          <w:p w14:paraId="31EFA5D3"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Variazione % rispetto al 2018</w:t>
            </w:r>
          </w:p>
        </w:tc>
        <w:tc>
          <w:tcPr>
            <w:tcW w:w="1020" w:type="dxa"/>
            <w:tcBorders>
              <w:top w:val="nil"/>
              <w:left w:val="nil"/>
              <w:bottom w:val="single" w:sz="4" w:space="0" w:color="auto"/>
              <w:right w:val="nil"/>
            </w:tcBorders>
            <w:shd w:val="clear" w:color="auto" w:fill="auto"/>
            <w:vAlign w:val="center"/>
            <w:hideMark/>
          </w:tcPr>
          <w:p w14:paraId="51B96392"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Numero medio di componenti</w:t>
            </w:r>
          </w:p>
        </w:tc>
        <w:tc>
          <w:tcPr>
            <w:tcW w:w="860" w:type="dxa"/>
            <w:tcBorders>
              <w:top w:val="nil"/>
              <w:left w:val="nil"/>
              <w:bottom w:val="single" w:sz="4" w:space="0" w:color="auto"/>
              <w:right w:val="nil"/>
            </w:tcBorders>
            <w:shd w:val="clear" w:color="auto" w:fill="auto"/>
            <w:vAlign w:val="center"/>
            <w:hideMark/>
          </w:tcPr>
          <w:p w14:paraId="502DC2A9"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1 Persona (%)</w:t>
            </w:r>
          </w:p>
        </w:tc>
        <w:tc>
          <w:tcPr>
            <w:tcW w:w="860" w:type="dxa"/>
            <w:tcBorders>
              <w:top w:val="nil"/>
              <w:left w:val="nil"/>
              <w:bottom w:val="single" w:sz="4" w:space="0" w:color="auto"/>
              <w:right w:val="nil"/>
            </w:tcBorders>
            <w:shd w:val="clear" w:color="auto" w:fill="auto"/>
            <w:vAlign w:val="center"/>
            <w:hideMark/>
          </w:tcPr>
          <w:p w14:paraId="0691B972"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2 Persone (%)</w:t>
            </w:r>
          </w:p>
        </w:tc>
        <w:tc>
          <w:tcPr>
            <w:tcW w:w="860" w:type="dxa"/>
            <w:tcBorders>
              <w:top w:val="nil"/>
              <w:left w:val="nil"/>
              <w:bottom w:val="single" w:sz="4" w:space="0" w:color="auto"/>
              <w:right w:val="nil"/>
            </w:tcBorders>
            <w:shd w:val="clear" w:color="auto" w:fill="auto"/>
            <w:vAlign w:val="center"/>
            <w:hideMark/>
          </w:tcPr>
          <w:p w14:paraId="1F83FB0B"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3 Persone (%)</w:t>
            </w:r>
          </w:p>
        </w:tc>
        <w:tc>
          <w:tcPr>
            <w:tcW w:w="860" w:type="dxa"/>
            <w:tcBorders>
              <w:top w:val="nil"/>
              <w:left w:val="nil"/>
              <w:bottom w:val="single" w:sz="4" w:space="0" w:color="auto"/>
              <w:right w:val="nil"/>
            </w:tcBorders>
            <w:shd w:val="clear" w:color="auto" w:fill="auto"/>
            <w:vAlign w:val="center"/>
            <w:hideMark/>
          </w:tcPr>
          <w:p w14:paraId="2542AA6B"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4 Persone (%)</w:t>
            </w:r>
          </w:p>
        </w:tc>
        <w:tc>
          <w:tcPr>
            <w:tcW w:w="1180" w:type="dxa"/>
            <w:tcBorders>
              <w:top w:val="nil"/>
              <w:left w:val="nil"/>
              <w:bottom w:val="single" w:sz="4" w:space="0" w:color="auto"/>
              <w:right w:val="nil"/>
            </w:tcBorders>
            <w:shd w:val="clear" w:color="auto" w:fill="auto"/>
            <w:vAlign w:val="center"/>
            <w:hideMark/>
          </w:tcPr>
          <w:p w14:paraId="0990810C"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Famiglie con almeno uno straniero (%)</w:t>
            </w:r>
          </w:p>
        </w:tc>
        <w:tc>
          <w:tcPr>
            <w:tcW w:w="1100" w:type="dxa"/>
            <w:tcBorders>
              <w:top w:val="nil"/>
              <w:left w:val="nil"/>
              <w:bottom w:val="single" w:sz="4" w:space="0" w:color="auto"/>
              <w:right w:val="nil"/>
            </w:tcBorders>
            <w:shd w:val="clear" w:color="auto" w:fill="auto"/>
            <w:vAlign w:val="center"/>
            <w:hideMark/>
          </w:tcPr>
          <w:p w14:paraId="07B3695A" w14:textId="77777777" w:rsidR="00D50D5E" w:rsidRDefault="00D50D5E">
            <w:pPr>
              <w:jc w:val="center"/>
              <w:rPr>
                <w:rFonts w:ascii="Arial Narrow" w:hAnsi="Arial Narrow" w:cs="Calibri"/>
                <w:b/>
                <w:bCs/>
                <w:color w:val="000000"/>
                <w:sz w:val="18"/>
                <w:szCs w:val="18"/>
              </w:rPr>
            </w:pPr>
            <w:r>
              <w:rPr>
                <w:rFonts w:ascii="Arial Narrow" w:hAnsi="Arial Narrow" w:cs="Calibri"/>
                <w:b/>
                <w:bCs/>
                <w:color w:val="000000"/>
                <w:sz w:val="18"/>
                <w:szCs w:val="18"/>
              </w:rPr>
              <w:t>Famiglie con solo stranieri (%)</w:t>
            </w:r>
          </w:p>
        </w:tc>
      </w:tr>
      <w:tr w:rsidR="00D50D5E" w14:paraId="1C19E8D1" w14:textId="77777777" w:rsidTr="00D50D5E">
        <w:trPr>
          <w:trHeight w:val="300"/>
        </w:trPr>
        <w:tc>
          <w:tcPr>
            <w:tcW w:w="1080" w:type="dxa"/>
            <w:tcBorders>
              <w:top w:val="nil"/>
              <w:left w:val="nil"/>
              <w:bottom w:val="single" w:sz="4" w:space="0" w:color="auto"/>
              <w:right w:val="nil"/>
            </w:tcBorders>
            <w:shd w:val="clear" w:color="auto" w:fill="auto"/>
            <w:noWrap/>
            <w:vAlign w:val="center"/>
            <w:hideMark/>
          </w:tcPr>
          <w:p w14:paraId="2ECB82A4" w14:textId="77777777" w:rsidR="00D50D5E" w:rsidRDefault="00D50D5E">
            <w:pPr>
              <w:rPr>
                <w:rFonts w:ascii="Arial Narrow" w:hAnsi="Arial Narrow" w:cs="Calibri"/>
                <w:color w:val="000000"/>
                <w:sz w:val="18"/>
                <w:szCs w:val="18"/>
              </w:rPr>
            </w:pPr>
            <w:r>
              <w:rPr>
                <w:rFonts w:ascii="Arial Narrow" w:hAnsi="Arial Narrow" w:cs="Calibri"/>
                <w:color w:val="000000"/>
                <w:sz w:val="18"/>
                <w:szCs w:val="18"/>
              </w:rPr>
              <w:t>Matera</w:t>
            </w:r>
          </w:p>
        </w:tc>
        <w:tc>
          <w:tcPr>
            <w:tcW w:w="840" w:type="dxa"/>
            <w:tcBorders>
              <w:top w:val="nil"/>
              <w:left w:val="nil"/>
              <w:bottom w:val="single" w:sz="4" w:space="0" w:color="auto"/>
              <w:right w:val="nil"/>
            </w:tcBorders>
            <w:shd w:val="clear" w:color="000000" w:fill="D9D9D9"/>
            <w:noWrap/>
            <w:vAlign w:val="center"/>
            <w:hideMark/>
          </w:tcPr>
          <w:p w14:paraId="505F8DA4"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82.608</w:t>
            </w:r>
          </w:p>
        </w:tc>
        <w:tc>
          <w:tcPr>
            <w:tcW w:w="920" w:type="dxa"/>
            <w:tcBorders>
              <w:top w:val="nil"/>
              <w:left w:val="nil"/>
              <w:bottom w:val="single" w:sz="4" w:space="0" w:color="auto"/>
              <w:right w:val="nil"/>
            </w:tcBorders>
            <w:shd w:val="clear" w:color="auto" w:fill="auto"/>
            <w:noWrap/>
            <w:vAlign w:val="center"/>
            <w:hideMark/>
          </w:tcPr>
          <w:p w14:paraId="7CC9B207"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0,5</w:t>
            </w:r>
          </w:p>
        </w:tc>
        <w:tc>
          <w:tcPr>
            <w:tcW w:w="1020" w:type="dxa"/>
            <w:tcBorders>
              <w:top w:val="nil"/>
              <w:left w:val="nil"/>
              <w:bottom w:val="single" w:sz="4" w:space="0" w:color="auto"/>
              <w:right w:val="nil"/>
            </w:tcBorders>
            <w:shd w:val="clear" w:color="000000" w:fill="D9D9D9"/>
            <w:noWrap/>
            <w:vAlign w:val="center"/>
            <w:hideMark/>
          </w:tcPr>
          <w:p w14:paraId="60BFB47F"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60" w:type="dxa"/>
            <w:tcBorders>
              <w:top w:val="nil"/>
              <w:left w:val="nil"/>
              <w:bottom w:val="single" w:sz="4" w:space="0" w:color="auto"/>
              <w:right w:val="nil"/>
            </w:tcBorders>
            <w:shd w:val="clear" w:color="auto" w:fill="auto"/>
            <w:noWrap/>
            <w:vAlign w:val="center"/>
            <w:hideMark/>
          </w:tcPr>
          <w:p w14:paraId="357C5304"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33,5</w:t>
            </w:r>
          </w:p>
        </w:tc>
        <w:tc>
          <w:tcPr>
            <w:tcW w:w="860" w:type="dxa"/>
            <w:tcBorders>
              <w:top w:val="nil"/>
              <w:left w:val="nil"/>
              <w:bottom w:val="single" w:sz="4" w:space="0" w:color="auto"/>
              <w:right w:val="nil"/>
            </w:tcBorders>
            <w:shd w:val="clear" w:color="000000" w:fill="D9D9D9"/>
            <w:noWrap/>
            <w:vAlign w:val="center"/>
            <w:hideMark/>
          </w:tcPr>
          <w:p w14:paraId="7D8982FC"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26,2</w:t>
            </w:r>
          </w:p>
        </w:tc>
        <w:tc>
          <w:tcPr>
            <w:tcW w:w="860" w:type="dxa"/>
            <w:tcBorders>
              <w:top w:val="nil"/>
              <w:left w:val="nil"/>
              <w:bottom w:val="single" w:sz="4" w:space="0" w:color="auto"/>
              <w:right w:val="nil"/>
            </w:tcBorders>
            <w:shd w:val="clear" w:color="auto" w:fill="auto"/>
            <w:noWrap/>
            <w:vAlign w:val="center"/>
            <w:hideMark/>
          </w:tcPr>
          <w:p w14:paraId="1F730924"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18,7</w:t>
            </w:r>
          </w:p>
        </w:tc>
        <w:tc>
          <w:tcPr>
            <w:tcW w:w="860" w:type="dxa"/>
            <w:tcBorders>
              <w:top w:val="nil"/>
              <w:left w:val="nil"/>
              <w:bottom w:val="single" w:sz="4" w:space="0" w:color="auto"/>
              <w:right w:val="nil"/>
            </w:tcBorders>
            <w:shd w:val="clear" w:color="000000" w:fill="D9D9D9"/>
            <w:noWrap/>
            <w:vAlign w:val="center"/>
            <w:hideMark/>
          </w:tcPr>
          <w:p w14:paraId="1B326CD8"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16,7</w:t>
            </w:r>
          </w:p>
        </w:tc>
        <w:tc>
          <w:tcPr>
            <w:tcW w:w="1180" w:type="dxa"/>
            <w:tcBorders>
              <w:top w:val="nil"/>
              <w:left w:val="nil"/>
              <w:bottom w:val="single" w:sz="4" w:space="0" w:color="auto"/>
              <w:right w:val="nil"/>
            </w:tcBorders>
            <w:shd w:val="clear" w:color="auto" w:fill="auto"/>
            <w:noWrap/>
            <w:vAlign w:val="center"/>
            <w:hideMark/>
          </w:tcPr>
          <w:p w14:paraId="788647DF"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6,0</w:t>
            </w:r>
          </w:p>
        </w:tc>
        <w:tc>
          <w:tcPr>
            <w:tcW w:w="1100" w:type="dxa"/>
            <w:tcBorders>
              <w:top w:val="nil"/>
              <w:left w:val="nil"/>
              <w:bottom w:val="single" w:sz="4" w:space="0" w:color="auto"/>
              <w:right w:val="nil"/>
            </w:tcBorders>
            <w:shd w:val="clear" w:color="000000" w:fill="D9D9D9"/>
            <w:noWrap/>
            <w:vAlign w:val="center"/>
            <w:hideMark/>
          </w:tcPr>
          <w:p w14:paraId="5280390F"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4,7</w:t>
            </w:r>
          </w:p>
        </w:tc>
      </w:tr>
      <w:tr w:rsidR="00D50D5E" w14:paraId="39184BBB" w14:textId="77777777" w:rsidTr="00D50D5E">
        <w:trPr>
          <w:trHeight w:val="300"/>
        </w:trPr>
        <w:tc>
          <w:tcPr>
            <w:tcW w:w="1080" w:type="dxa"/>
            <w:tcBorders>
              <w:top w:val="nil"/>
              <w:left w:val="nil"/>
              <w:bottom w:val="single" w:sz="4" w:space="0" w:color="auto"/>
              <w:right w:val="nil"/>
            </w:tcBorders>
            <w:shd w:val="clear" w:color="auto" w:fill="auto"/>
            <w:noWrap/>
            <w:vAlign w:val="center"/>
            <w:hideMark/>
          </w:tcPr>
          <w:p w14:paraId="290550C6" w14:textId="77777777" w:rsidR="00D50D5E" w:rsidRDefault="00D50D5E">
            <w:pPr>
              <w:rPr>
                <w:rFonts w:ascii="Arial Narrow" w:hAnsi="Arial Narrow" w:cs="Calibri"/>
                <w:color w:val="000000"/>
                <w:sz w:val="18"/>
                <w:szCs w:val="18"/>
              </w:rPr>
            </w:pPr>
            <w:r>
              <w:rPr>
                <w:rFonts w:ascii="Arial Narrow" w:hAnsi="Arial Narrow" w:cs="Calibri"/>
                <w:color w:val="000000"/>
                <w:sz w:val="18"/>
                <w:szCs w:val="18"/>
              </w:rPr>
              <w:t>Potenza</w:t>
            </w:r>
          </w:p>
        </w:tc>
        <w:tc>
          <w:tcPr>
            <w:tcW w:w="840" w:type="dxa"/>
            <w:tcBorders>
              <w:top w:val="nil"/>
              <w:left w:val="nil"/>
              <w:bottom w:val="single" w:sz="4" w:space="0" w:color="auto"/>
              <w:right w:val="nil"/>
            </w:tcBorders>
            <w:shd w:val="clear" w:color="000000" w:fill="D9D9D9"/>
            <w:noWrap/>
            <w:vAlign w:val="center"/>
            <w:hideMark/>
          </w:tcPr>
          <w:p w14:paraId="4BF89445"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152.637</w:t>
            </w:r>
          </w:p>
        </w:tc>
        <w:tc>
          <w:tcPr>
            <w:tcW w:w="920" w:type="dxa"/>
            <w:tcBorders>
              <w:top w:val="nil"/>
              <w:left w:val="nil"/>
              <w:bottom w:val="single" w:sz="4" w:space="0" w:color="auto"/>
              <w:right w:val="nil"/>
            </w:tcBorders>
            <w:shd w:val="clear" w:color="auto" w:fill="auto"/>
            <w:noWrap/>
            <w:vAlign w:val="center"/>
            <w:hideMark/>
          </w:tcPr>
          <w:p w14:paraId="1A5CFAD4"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0,0</w:t>
            </w:r>
          </w:p>
        </w:tc>
        <w:tc>
          <w:tcPr>
            <w:tcW w:w="1020" w:type="dxa"/>
            <w:tcBorders>
              <w:top w:val="nil"/>
              <w:left w:val="nil"/>
              <w:bottom w:val="single" w:sz="4" w:space="0" w:color="auto"/>
              <w:right w:val="nil"/>
            </w:tcBorders>
            <w:shd w:val="clear" w:color="000000" w:fill="D9D9D9"/>
            <w:noWrap/>
            <w:vAlign w:val="center"/>
            <w:hideMark/>
          </w:tcPr>
          <w:p w14:paraId="7C0F4FBC"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60" w:type="dxa"/>
            <w:tcBorders>
              <w:top w:val="nil"/>
              <w:left w:val="nil"/>
              <w:bottom w:val="single" w:sz="4" w:space="0" w:color="auto"/>
              <w:right w:val="nil"/>
            </w:tcBorders>
            <w:shd w:val="clear" w:color="auto" w:fill="auto"/>
            <w:noWrap/>
            <w:vAlign w:val="center"/>
            <w:hideMark/>
          </w:tcPr>
          <w:p w14:paraId="7272CC64"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34,2</w:t>
            </w:r>
          </w:p>
        </w:tc>
        <w:tc>
          <w:tcPr>
            <w:tcW w:w="860" w:type="dxa"/>
            <w:tcBorders>
              <w:top w:val="nil"/>
              <w:left w:val="nil"/>
              <w:bottom w:val="single" w:sz="4" w:space="0" w:color="auto"/>
              <w:right w:val="nil"/>
            </w:tcBorders>
            <w:shd w:val="clear" w:color="000000" w:fill="D9D9D9"/>
            <w:noWrap/>
            <w:vAlign w:val="center"/>
            <w:hideMark/>
          </w:tcPr>
          <w:p w14:paraId="39180427"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25,7</w:t>
            </w:r>
          </w:p>
        </w:tc>
        <w:tc>
          <w:tcPr>
            <w:tcW w:w="860" w:type="dxa"/>
            <w:tcBorders>
              <w:top w:val="nil"/>
              <w:left w:val="nil"/>
              <w:bottom w:val="single" w:sz="4" w:space="0" w:color="auto"/>
              <w:right w:val="nil"/>
            </w:tcBorders>
            <w:shd w:val="clear" w:color="auto" w:fill="auto"/>
            <w:noWrap/>
            <w:vAlign w:val="center"/>
            <w:hideMark/>
          </w:tcPr>
          <w:p w14:paraId="69640E54"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18,6</w:t>
            </w:r>
          </w:p>
        </w:tc>
        <w:tc>
          <w:tcPr>
            <w:tcW w:w="860" w:type="dxa"/>
            <w:tcBorders>
              <w:top w:val="nil"/>
              <w:left w:val="nil"/>
              <w:bottom w:val="single" w:sz="4" w:space="0" w:color="auto"/>
              <w:right w:val="nil"/>
            </w:tcBorders>
            <w:shd w:val="clear" w:color="000000" w:fill="D9D9D9"/>
            <w:noWrap/>
            <w:vAlign w:val="center"/>
            <w:hideMark/>
          </w:tcPr>
          <w:p w14:paraId="3E869544"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16,6</w:t>
            </w:r>
          </w:p>
        </w:tc>
        <w:tc>
          <w:tcPr>
            <w:tcW w:w="1180" w:type="dxa"/>
            <w:tcBorders>
              <w:top w:val="nil"/>
              <w:left w:val="nil"/>
              <w:bottom w:val="single" w:sz="4" w:space="0" w:color="auto"/>
              <w:right w:val="nil"/>
            </w:tcBorders>
            <w:shd w:val="clear" w:color="auto" w:fill="auto"/>
            <w:noWrap/>
            <w:vAlign w:val="center"/>
            <w:hideMark/>
          </w:tcPr>
          <w:p w14:paraId="4C1928FF"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4,0</w:t>
            </w:r>
          </w:p>
        </w:tc>
        <w:tc>
          <w:tcPr>
            <w:tcW w:w="1100" w:type="dxa"/>
            <w:tcBorders>
              <w:top w:val="nil"/>
              <w:left w:val="nil"/>
              <w:bottom w:val="single" w:sz="4" w:space="0" w:color="auto"/>
              <w:right w:val="nil"/>
            </w:tcBorders>
            <w:shd w:val="clear" w:color="000000" w:fill="D9D9D9"/>
            <w:noWrap/>
            <w:vAlign w:val="center"/>
            <w:hideMark/>
          </w:tcPr>
          <w:p w14:paraId="7C468990" w14:textId="77777777" w:rsidR="00D50D5E" w:rsidRDefault="00D50D5E">
            <w:pPr>
              <w:jc w:val="right"/>
              <w:rPr>
                <w:rFonts w:ascii="Arial Narrow" w:hAnsi="Arial Narrow" w:cs="Calibri"/>
                <w:color w:val="000000"/>
                <w:sz w:val="18"/>
                <w:szCs w:val="18"/>
              </w:rPr>
            </w:pPr>
            <w:r>
              <w:rPr>
                <w:rFonts w:ascii="Arial Narrow" w:hAnsi="Arial Narrow" w:cs="Calibri"/>
                <w:color w:val="000000"/>
                <w:sz w:val="18"/>
                <w:szCs w:val="18"/>
              </w:rPr>
              <w:t>2,8</w:t>
            </w:r>
          </w:p>
        </w:tc>
      </w:tr>
      <w:tr w:rsidR="00D50D5E" w14:paraId="5D81B41B" w14:textId="77777777" w:rsidTr="00D50D5E">
        <w:trPr>
          <w:trHeight w:val="300"/>
        </w:trPr>
        <w:tc>
          <w:tcPr>
            <w:tcW w:w="1080" w:type="dxa"/>
            <w:tcBorders>
              <w:top w:val="single" w:sz="4" w:space="0" w:color="auto"/>
              <w:left w:val="nil"/>
              <w:bottom w:val="single" w:sz="4" w:space="0" w:color="auto"/>
              <w:right w:val="nil"/>
            </w:tcBorders>
            <w:shd w:val="clear" w:color="000000" w:fill="C9321F"/>
            <w:noWrap/>
            <w:vAlign w:val="center"/>
            <w:hideMark/>
          </w:tcPr>
          <w:p w14:paraId="741E067E" w14:textId="77777777" w:rsidR="00D50D5E" w:rsidRDefault="00D50D5E">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840" w:type="dxa"/>
            <w:tcBorders>
              <w:top w:val="single" w:sz="4" w:space="0" w:color="auto"/>
              <w:left w:val="nil"/>
              <w:bottom w:val="single" w:sz="4" w:space="0" w:color="auto"/>
              <w:right w:val="nil"/>
            </w:tcBorders>
            <w:shd w:val="clear" w:color="000000" w:fill="C9321F"/>
            <w:noWrap/>
            <w:vAlign w:val="center"/>
            <w:hideMark/>
          </w:tcPr>
          <w:p w14:paraId="3EEC0D81"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235.246</w:t>
            </w:r>
          </w:p>
        </w:tc>
        <w:tc>
          <w:tcPr>
            <w:tcW w:w="920" w:type="dxa"/>
            <w:tcBorders>
              <w:top w:val="single" w:sz="4" w:space="0" w:color="auto"/>
              <w:left w:val="nil"/>
              <w:bottom w:val="single" w:sz="4" w:space="0" w:color="auto"/>
              <w:right w:val="nil"/>
            </w:tcBorders>
            <w:shd w:val="clear" w:color="000000" w:fill="C9321F"/>
            <w:noWrap/>
            <w:vAlign w:val="center"/>
            <w:hideMark/>
          </w:tcPr>
          <w:p w14:paraId="00CEDFEA"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0,2</w:t>
            </w:r>
          </w:p>
        </w:tc>
        <w:tc>
          <w:tcPr>
            <w:tcW w:w="1020" w:type="dxa"/>
            <w:tcBorders>
              <w:top w:val="single" w:sz="4" w:space="0" w:color="auto"/>
              <w:left w:val="nil"/>
              <w:bottom w:val="single" w:sz="4" w:space="0" w:color="auto"/>
              <w:right w:val="nil"/>
            </w:tcBorders>
            <w:shd w:val="clear" w:color="000000" w:fill="C9321F"/>
            <w:noWrap/>
            <w:vAlign w:val="center"/>
            <w:hideMark/>
          </w:tcPr>
          <w:p w14:paraId="1B70C384"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2,3</w:t>
            </w:r>
          </w:p>
        </w:tc>
        <w:tc>
          <w:tcPr>
            <w:tcW w:w="860" w:type="dxa"/>
            <w:tcBorders>
              <w:top w:val="single" w:sz="4" w:space="0" w:color="auto"/>
              <w:left w:val="nil"/>
              <w:bottom w:val="single" w:sz="4" w:space="0" w:color="auto"/>
              <w:right w:val="nil"/>
            </w:tcBorders>
            <w:shd w:val="clear" w:color="000000" w:fill="C9321F"/>
            <w:noWrap/>
            <w:vAlign w:val="center"/>
            <w:hideMark/>
          </w:tcPr>
          <w:p w14:paraId="50095893"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33,9</w:t>
            </w:r>
          </w:p>
        </w:tc>
        <w:tc>
          <w:tcPr>
            <w:tcW w:w="860" w:type="dxa"/>
            <w:tcBorders>
              <w:top w:val="single" w:sz="4" w:space="0" w:color="auto"/>
              <w:left w:val="nil"/>
              <w:bottom w:val="single" w:sz="4" w:space="0" w:color="auto"/>
              <w:right w:val="nil"/>
            </w:tcBorders>
            <w:shd w:val="clear" w:color="000000" w:fill="C9321F"/>
            <w:noWrap/>
            <w:vAlign w:val="center"/>
            <w:hideMark/>
          </w:tcPr>
          <w:p w14:paraId="1197D888"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25,9</w:t>
            </w:r>
          </w:p>
        </w:tc>
        <w:tc>
          <w:tcPr>
            <w:tcW w:w="860" w:type="dxa"/>
            <w:tcBorders>
              <w:top w:val="single" w:sz="4" w:space="0" w:color="auto"/>
              <w:left w:val="nil"/>
              <w:bottom w:val="single" w:sz="4" w:space="0" w:color="auto"/>
              <w:right w:val="nil"/>
            </w:tcBorders>
            <w:shd w:val="clear" w:color="000000" w:fill="C9321F"/>
            <w:noWrap/>
            <w:vAlign w:val="center"/>
            <w:hideMark/>
          </w:tcPr>
          <w:p w14:paraId="095AA264"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18,6</w:t>
            </w:r>
          </w:p>
        </w:tc>
        <w:tc>
          <w:tcPr>
            <w:tcW w:w="860" w:type="dxa"/>
            <w:tcBorders>
              <w:top w:val="single" w:sz="4" w:space="0" w:color="auto"/>
              <w:left w:val="nil"/>
              <w:bottom w:val="single" w:sz="4" w:space="0" w:color="auto"/>
              <w:right w:val="nil"/>
            </w:tcBorders>
            <w:shd w:val="clear" w:color="000000" w:fill="C9321F"/>
            <w:noWrap/>
            <w:vAlign w:val="center"/>
            <w:hideMark/>
          </w:tcPr>
          <w:p w14:paraId="751486A7"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16,6</w:t>
            </w:r>
          </w:p>
        </w:tc>
        <w:tc>
          <w:tcPr>
            <w:tcW w:w="1180" w:type="dxa"/>
            <w:tcBorders>
              <w:top w:val="single" w:sz="4" w:space="0" w:color="auto"/>
              <w:left w:val="nil"/>
              <w:bottom w:val="single" w:sz="4" w:space="0" w:color="auto"/>
              <w:right w:val="nil"/>
            </w:tcBorders>
            <w:shd w:val="clear" w:color="000000" w:fill="C9321F"/>
            <w:noWrap/>
            <w:vAlign w:val="center"/>
            <w:hideMark/>
          </w:tcPr>
          <w:p w14:paraId="2F7EBAF1"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4,7</w:t>
            </w:r>
          </w:p>
        </w:tc>
        <w:tc>
          <w:tcPr>
            <w:tcW w:w="1100" w:type="dxa"/>
            <w:tcBorders>
              <w:top w:val="single" w:sz="4" w:space="0" w:color="auto"/>
              <w:left w:val="nil"/>
              <w:bottom w:val="single" w:sz="4" w:space="0" w:color="auto"/>
              <w:right w:val="nil"/>
            </w:tcBorders>
            <w:shd w:val="clear" w:color="000000" w:fill="C9321F"/>
            <w:noWrap/>
            <w:vAlign w:val="center"/>
            <w:hideMark/>
          </w:tcPr>
          <w:p w14:paraId="2BD67636"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3,5</w:t>
            </w:r>
          </w:p>
        </w:tc>
      </w:tr>
      <w:tr w:rsidR="00D50D5E" w14:paraId="492DAA61" w14:textId="77777777" w:rsidTr="00D50D5E">
        <w:trPr>
          <w:trHeight w:val="300"/>
        </w:trPr>
        <w:tc>
          <w:tcPr>
            <w:tcW w:w="1080" w:type="dxa"/>
            <w:tcBorders>
              <w:top w:val="single" w:sz="4" w:space="0" w:color="auto"/>
              <w:left w:val="nil"/>
              <w:bottom w:val="single" w:sz="4" w:space="0" w:color="auto"/>
              <w:right w:val="nil"/>
            </w:tcBorders>
            <w:shd w:val="clear" w:color="000000" w:fill="C9321F"/>
            <w:noWrap/>
            <w:vAlign w:val="center"/>
            <w:hideMark/>
          </w:tcPr>
          <w:p w14:paraId="53E75C61" w14:textId="77777777" w:rsidR="00D50D5E" w:rsidRDefault="00D50D5E">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840" w:type="dxa"/>
            <w:tcBorders>
              <w:top w:val="single" w:sz="4" w:space="0" w:color="auto"/>
              <w:left w:val="nil"/>
              <w:bottom w:val="single" w:sz="4" w:space="0" w:color="auto"/>
              <w:right w:val="nil"/>
            </w:tcBorders>
            <w:shd w:val="clear" w:color="000000" w:fill="C9321F"/>
            <w:noWrap/>
            <w:vAlign w:val="center"/>
            <w:hideMark/>
          </w:tcPr>
          <w:p w14:paraId="6DCFD6A5"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25.851.122</w:t>
            </w:r>
          </w:p>
        </w:tc>
        <w:tc>
          <w:tcPr>
            <w:tcW w:w="920" w:type="dxa"/>
            <w:tcBorders>
              <w:top w:val="single" w:sz="4" w:space="0" w:color="auto"/>
              <w:left w:val="nil"/>
              <w:bottom w:val="single" w:sz="4" w:space="0" w:color="auto"/>
              <w:right w:val="nil"/>
            </w:tcBorders>
            <w:shd w:val="clear" w:color="000000" w:fill="C9321F"/>
            <w:noWrap/>
            <w:vAlign w:val="center"/>
            <w:hideMark/>
          </w:tcPr>
          <w:p w14:paraId="596A56E0"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0,5</w:t>
            </w:r>
          </w:p>
        </w:tc>
        <w:tc>
          <w:tcPr>
            <w:tcW w:w="1020" w:type="dxa"/>
            <w:tcBorders>
              <w:top w:val="single" w:sz="4" w:space="0" w:color="auto"/>
              <w:left w:val="nil"/>
              <w:bottom w:val="single" w:sz="4" w:space="0" w:color="auto"/>
              <w:right w:val="nil"/>
            </w:tcBorders>
            <w:shd w:val="clear" w:color="000000" w:fill="C9321F"/>
            <w:noWrap/>
            <w:vAlign w:val="center"/>
            <w:hideMark/>
          </w:tcPr>
          <w:p w14:paraId="5F93AE9B"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2,3</w:t>
            </w:r>
          </w:p>
        </w:tc>
        <w:tc>
          <w:tcPr>
            <w:tcW w:w="860" w:type="dxa"/>
            <w:tcBorders>
              <w:top w:val="single" w:sz="4" w:space="0" w:color="auto"/>
              <w:left w:val="nil"/>
              <w:bottom w:val="single" w:sz="4" w:space="0" w:color="auto"/>
              <w:right w:val="nil"/>
            </w:tcBorders>
            <w:shd w:val="clear" w:color="000000" w:fill="C9321F"/>
            <w:noWrap/>
            <w:vAlign w:val="center"/>
            <w:hideMark/>
          </w:tcPr>
          <w:p w14:paraId="3F9E6B57"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35,1</w:t>
            </w:r>
          </w:p>
        </w:tc>
        <w:tc>
          <w:tcPr>
            <w:tcW w:w="860" w:type="dxa"/>
            <w:tcBorders>
              <w:top w:val="single" w:sz="4" w:space="0" w:color="auto"/>
              <w:left w:val="nil"/>
              <w:bottom w:val="single" w:sz="4" w:space="0" w:color="auto"/>
              <w:right w:val="nil"/>
            </w:tcBorders>
            <w:shd w:val="clear" w:color="000000" w:fill="C9321F"/>
            <w:noWrap/>
            <w:vAlign w:val="center"/>
            <w:hideMark/>
          </w:tcPr>
          <w:p w14:paraId="3B88CC30"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27,1</w:t>
            </w:r>
          </w:p>
        </w:tc>
        <w:tc>
          <w:tcPr>
            <w:tcW w:w="860" w:type="dxa"/>
            <w:tcBorders>
              <w:top w:val="single" w:sz="4" w:space="0" w:color="auto"/>
              <w:left w:val="nil"/>
              <w:bottom w:val="single" w:sz="4" w:space="0" w:color="auto"/>
              <w:right w:val="nil"/>
            </w:tcBorders>
            <w:shd w:val="clear" w:color="000000" w:fill="C9321F"/>
            <w:noWrap/>
            <w:vAlign w:val="center"/>
            <w:hideMark/>
          </w:tcPr>
          <w:p w14:paraId="0A0E1047"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18,5</w:t>
            </w:r>
          </w:p>
        </w:tc>
        <w:tc>
          <w:tcPr>
            <w:tcW w:w="860" w:type="dxa"/>
            <w:tcBorders>
              <w:top w:val="single" w:sz="4" w:space="0" w:color="auto"/>
              <w:left w:val="nil"/>
              <w:bottom w:val="single" w:sz="4" w:space="0" w:color="auto"/>
              <w:right w:val="nil"/>
            </w:tcBorders>
            <w:shd w:val="clear" w:color="000000" w:fill="C9321F"/>
            <w:noWrap/>
            <w:vAlign w:val="center"/>
            <w:hideMark/>
          </w:tcPr>
          <w:p w14:paraId="5893282B"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14,3</w:t>
            </w:r>
          </w:p>
        </w:tc>
        <w:tc>
          <w:tcPr>
            <w:tcW w:w="1180" w:type="dxa"/>
            <w:tcBorders>
              <w:top w:val="single" w:sz="4" w:space="0" w:color="auto"/>
              <w:left w:val="nil"/>
              <w:bottom w:val="single" w:sz="4" w:space="0" w:color="auto"/>
              <w:right w:val="nil"/>
            </w:tcBorders>
            <w:shd w:val="clear" w:color="000000" w:fill="C9321F"/>
            <w:noWrap/>
            <w:vAlign w:val="center"/>
            <w:hideMark/>
          </w:tcPr>
          <w:p w14:paraId="2078D230"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9,3</w:t>
            </w:r>
          </w:p>
        </w:tc>
        <w:tc>
          <w:tcPr>
            <w:tcW w:w="1100" w:type="dxa"/>
            <w:tcBorders>
              <w:top w:val="single" w:sz="4" w:space="0" w:color="auto"/>
              <w:left w:val="nil"/>
              <w:bottom w:val="single" w:sz="4" w:space="0" w:color="auto"/>
              <w:right w:val="nil"/>
            </w:tcBorders>
            <w:shd w:val="clear" w:color="000000" w:fill="C9321F"/>
            <w:noWrap/>
            <w:vAlign w:val="center"/>
            <w:hideMark/>
          </w:tcPr>
          <w:p w14:paraId="562449BD" w14:textId="77777777" w:rsidR="00D50D5E" w:rsidRDefault="00D50D5E">
            <w:pPr>
              <w:jc w:val="right"/>
              <w:rPr>
                <w:rFonts w:ascii="Arial Narrow" w:hAnsi="Arial Narrow" w:cs="Calibri"/>
                <w:b/>
                <w:bCs/>
                <w:color w:val="FFFFFF"/>
                <w:sz w:val="18"/>
                <w:szCs w:val="18"/>
              </w:rPr>
            </w:pPr>
            <w:r>
              <w:rPr>
                <w:rFonts w:ascii="Arial Narrow" w:hAnsi="Arial Narrow" w:cs="Calibri"/>
                <w:b/>
                <w:bCs/>
                <w:color w:val="FFFFFF"/>
                <w:sz w:val="18"/>
                <w:szCs w:val="18"/>
              </w:rPr>
              <w:t>6,6</w:t>
            </w:r>
          </w:p>
        </w:tc>
      </w:tr>
    </w:tbl>
    <w:p w14:paraId="10E30B8A" w14:textId="333F0680" w:rsidR="008102C8" w:rsidRDefault="008102C8" w:rsidP="00725AAF">
      <w:pPr>
        <w:tabs>
          <w:tab w:val="left" w:pos="567"/>
        </w:tabs>
        <w:spacing w:after="120"/>
        <w:jc w:val="both"/>
        <w:rPr>
          <w:rFonts w:ascii="Trebuchet MS" w:hAnsi="Trebuchet MS" w:cs="Arial"/>
          <w:color w:val="5F5F5F"/>
          <w:sz w:val="20"/>
          <w:szCs w:val="20"/>
        </w:rPr>
      </w:pPr>
    </w:p>
    <w:p w14:paraId="3C8C0F9D" w14:textId="10809F8D" w:rsidR="00F72E09" w:rsidRDefault="00EA2CE6" w:rsidP="005B0778">
      <w:pPr>
        <w:tabs>
          <w:tab w:val="left" w:pos="567"/>
        </w:tabs>
        <w:spacing w:after="120"/>
        <w:jc w:val="both"/>
        <w:rPr>
          <w:rFonts w:ascii="Trebuchet MS" w:hAnsi="Trebuchet MS" w:cs="Arial"/>
          <w:color w:val="5F5F5F"/>
          <w:sz w:val="20"/>
          <w:szCs w:val="20"/>
        </w:rPr>
      </w:pPr>
      <w:r>
        <w:rPr>
          <w:rFonts w:ascii="Trebuchet MS" w:hAnsi="Trebuchet MS" w:cs="Arial"/>
          <w:color w:val="5F5F5F"/>
          <w:sz w:val="20"/>
          <w:szCs w:val="20"/>
        </w:rPr>
        <w:lastRenderedPageBreak/>
        <w:t>Nella regione la tipologia familiare più frequente</w:t>
      </w:r>
      <w:r w:rsidR="004E526C">
        <w:rPr>
          <w:rFonts w:ascii="Trebuchet MS" w:hAnsi="Trebuchet MS" w:cs="Arial"/>
          <w:color w:val="5F5F5F"/>
          <w:sz w:val="20"/>
          <w:szCs w:val="20"/>
        </w:rPr>
        <w:t xml:space="preserve"> è quella delle famiglie unipersonali (</w:t>
      </w:r>
      <w:r>
        <w:rPr>
          <w:rFonts w:ascii="Trebuchet MS" w:hAnsi="Trebuchet MS" w:cs="Arial"/>
          <w:color w:val="5F5F5F"/>
          <w:sz w:val="20"/>
          <w:szCs w:val="20"/>
        </w:rPr>
        <w:t>3</w:t>
      </w:r>
      <w:r w:rsidR="007F6D01">
        <w:rPr>
          <w:rFonts w:ascii="Trebuchet MS" w:hAnsi="Trebuchet MS" w:cs="Arial"/>
          <w:color w:val="5F5F5F"/>
          <w:sz w:val="20"/>
          <w:szCs w:val="20"/>
        </w:rPr>
        <w:t>3</w:t>
      </w:r>
      <w:r>
        <w:rPr>
          <w:rFonts w:ascii="Trebuchet MS" w:hAnsi="Trebuchet MS" w:cs="Arial"/>
          <w:color w:val="5F5F5F"/>
          <w:sz w:val="20"/>
          <w:szCs w:val="20"/>
        </w:rPr>
        <w:t>,</w:t>
      </w:r>
      <w:r w:rsidR="007F6D01">
        <w:rPr>
          <w:rFonts w:ascii="Trebuchet MS" w:hAnsi="Trebuchet MS" w:cs="Arial"/>
          <w:color w:val="5F5F5F"/>
          <w:sz w:val="20"/>
          <w:szCs w:val="20"/>
        </w:rPr>
        <w:t>9</w:t>
      </w:r>
      <w:r>
        <w:rPr>
          <w:rFonts w:ascii="Trebuchet MS" w:hAnsi="Trebuchet MS" w:cs="Arial"/>
          <w:color w:val="5F5F5F"/>
          <w:sz w:val="20"/>
          <w:szCs w:val="20"/>
        </w:rPr>
        <w:t xml:space="preserve">% </w:t>
      </w:r>
      <w:r w:rsidR="00725AAF">
        <w:rPr>
          <w:rFonts w:ascii="Trebuchet MS" w:hAnsi="Trebuchet MS" w:cs="Arial"/>
          <w:color w:val="5F5F5F"/>
          <w:sz w:val="20"/>
          <w:szCs w:val="20"/>
        </w:rPr>
        <w:t>del totale</w:t>
      </w:r>
      <w:r w:rsidR="004E526C">
        <w:rPr>
          <w:rFonts w:ascii="Trebuchet MS" w:hAnsi="Trebuchet MS" w:cs="Arial"/>
          <w:color w:val="5F5F5F"/>
          <w:sz w:val="20"/>
          <w:szCs w:val="20"/>
        </w:rPr>
        <w:t xml:space="preserve"> contro 35,1% della media nazionale)</w:t>
      </w:r>
      <w:r w:rsidR="00725AAF">
        <w:rPr>
          <w:rFonts w:ascii="Trebuchet MS" w:hAnsi="Trebuchet MS" w:cs="Arial"/>
          <w:color w:val="5F5F5F"/>
          <w:sz w:val="20"/>
          <w:szCs w:val="20"/>
        </w:rPr>
        <w:t xml:space="preserve">, </w:t>
      </w:r>
      <w:r w:rsidR="004E526C">
        <w:rPr>
          <w:rFonts w:ascii="Trebuchet MS" w:hAnsi="Trebuchet MS" w:cs="Arial"/>
          <w:color w:val="5F5F5F"/>
          <w:sz w:val="20"/>
          <w:szCs w:val="20"/>
        </w:rPr>
        <w:t>seguono le famiglie con</w:t>
      </w:r>
      <w:r>
        <w:rPr>
          <w:rFonts w:ascii="Trebuchet MS" w:hAnsi="Trebuchet MS" w:cs="Arial"/>
          <w:color w:val="5F5F5F"/>
          <w:sz w:val="20"/>
          <w:szCs w:val="20"/>
        </w:rPr>
        <w:t xml:space="preserve"> due componenti (2</w:t>
      </w:r>
      <w:r w:rsidR="007F6D01">
        <w:rPr>
          <w:rFonts w:ascii="Trebuchet MS" w:hAnsi="Trebuchet MS" w:cs="Arial"/>
          <w:color w:val="5F5F5F"/>
          <w:sz w:val="20"/>
          <w:szCs w:val="20"/>
        </w:rPr>
        <w:t>5</w:t>
      </w:r>
      <w:r>
        <w:rPr>
          <w:rFonts w:ascii="Trebuchet MS" w:hAnsi="Trebuchet MS" w:cs="Arial"/>
          <w:color w:val="5F5F5F"/>
          <w:sz w:val="20"/>
          <w:szCs w:val="20"/>
        </w:rPr>
        <w:t>,</w:t>
      </w:r>
      <w:r w:rsidR="007F6D01">
        <w:rPr>
          <w:rFonts w:ascii="Trebuchet MS" w:hAnsi="Trebuchet MS" w:cs="Arial"/>
          <w:color w:val="5F5F5F"/>
          <w:sz w:val="20"/>
          <w:szCs w:val="20"/>
        </w:rPr>
        <w:t>9</w:t>
      </w:r>
      <w:r>
        <w:rPr>
          <w:rFonts w:ascii="Trebuchet MS" w:hAnsi="Trebuchet MS" w:cs="Arial"/>
          <w:color w:val="5F5F5F"/>
          <w:sz w:val="20"/>
          <w:szCs w:val="20"/>
        </w:rPr>
        <w:t xml:space="preserve">%). Le famiglie più numerose, con almeno tre componenti, rappresentano </w:t>
      </w:r>
      <w:r w:rsidR="00266A3F">
        <w:rPr>
          <w:rFonts w:ascii="Trebuchet MS" w:hAnsi="Trebuchet MS" w:cs="Arial"/>
          <w:color w:val="5F5F5F"/>
          <w:sz w:val="20"/>
          <w:szCs w:val="20"/>
        </w:rPr>
        <w:t xml:space="preserve">poco più </w:t>
      </w:r>
      <w:r>
        <w:rPr>
          <w:rFonts w:ascii="Trebuchet MS" w:hAnsi="Trebuchet MS" w:cs="Arial"/>
          <w:color w:val="5F5F5F"/>
          <w:sz w:val="20"/>
          <w:szCs w:val="20"/>
        </w:rPr>
        <w:t>di un terzo del totale</w:t>
      </w:r>
      <w:r w:rsidR="00133C71">
        <w:rPr>
          <w:rFonts w:ascii="Trebuchet MS" w:hAnsi="Trebuchet MS" w:cs="Arial"/>
          <w:color w:val="5F5F5F"/>
          <w:sz w:val="20"/>
          <w:szCs w:val="20"/>
        </w:rPr>
        <w:t>.</w:t>
      </w:r>
      <w:r>
        <w:rPr>
          <w:rFonts w:ascii="Trebuchet MS" w:hAnsi="Trebuchet MS" w:cs="Arial"/>
          <w:color w:val="5F5F5F"/>
          <w:sz w:val="20"/>
          <w:szCs w:val="20"/>
        </w:rPr>
        <w:t xml:space="preserve"> </w:t>
      </w:r>
    </w:p>
    <w:p w14:paraId="3B923978" w14:textId="17FD56BE" w:rsidR="008F116B" w:rsidRDefault="00593959" w:rsidP="005B0778">
      <w:pPr>
        <w:spacing w:after="120"/>
        <w:jc w:val="both"/>
        <w:rPr>
          <w:rFonts w:ascii="Trebuchet MS" w:hAnsi="Trebuchet MS" w:cs="Arial"/>
          <w:color w:val="5F5F5F"/>
          <w:sz w:val="20"/>
          <w:szCs w:val="20"/>
        </w:rPr>
      </w:pPr>
      <w:r>
        <w:rPr>
          <w:rFonts w:ascii="Trebuchet MS" w:hAnsi="Trebuchet MS" w:cs="Arial"/>
          <w:color w:val="5F5F5F"/>
          <w:sz w:val="20"/>
          <w:szCs w:val="20"/>
        </w:rPr>
        <w:t>La provincia di</w:t>
      </w:r>
      <w:r w:rsidR="00703DC9">
        <w:rPr>
          <w:rFonts w:ascii="Trebuchet MS" w:hAnsi="Trebuchet MS" w:cs="Arial"/>
          <w:color w:val="5F5F5F"/>
          <w:sz w:val="20"/>
          <w:szCs w:val="20"/>
        </w:rPr>
        <w:t xml:space="preserve"> </w:t>
      </w:r>
      <w:r w:rsidR="00266A3F">
        <w:rPr>
          <w:rFonts w:ascii="Trebuchet MS" w:hAnsi="Trebuchet MS" w:cs="Arial"/>
          <w:color w:val="5F5F5F"/>
          <w:sz w:val="20"/>
          <w:szCs w:val="20"/>
        </w:rPr>
        <w:t xml:space="preserve">Potenza è caratterizzata da una maggiore incidenza delle famiglie unipersonali mentre a Matera </w:t>
      </w:r>
      <w:r w:rsidR="00DA52CC" w:rsidRPr="00013C34">
        <w:rPr>
          <w:rFonts w:ascii="Trebuchet MS" w:hAnsi="Trebuchet MS" w:cs="Arial"/>
          <w:color w:val="5F5F5F"/>
          <w:sz w:val="20"/>
          <w:szCs w:val="20"/>
        </w:rPr>
        <w:t>il 6</w:t>
      </w:r>
      <w:r w:rsidR="00F71246">
        <w:rPr>
          <w:rFonts w:ascii="Trebuchet MS" w:hAnsi="Trebuchet MS" w:cs="Arial"/>
          <w:color w:val="5F5F5F"/>
          <w:sz w:val="20"/>
          <w:szCs w:val="20"/>
        </w:rPr>
        <w:t>,0</w:t>
      </w:r>
      <w:r w:rsidR="00FA2069" w:rsidRPr="00013C34">
        <w:rPr>
          <w:rFonts w:ascii="Trebuchet MS" w:hAnsi="Trebuchet MS" w:cs="Arial"/>
          <w:color w:val="5F5F5F"/>
          <w:sz w:val="20"/>
          <w:szCs w:val="20"/>
        </w:rPr>
        <w:t>% delle famiglie</w:t>
      </w:r>
      <w:r w:rsidR="00FA2069">
        <w:rPr>
          <w:rFonts w:ascii="Trebuchet MS" w:hAnsi="Trebuchet MS" w:cs="Arial"/>
          <w:color w:val="5F5F5F"/>
          <w:sz w:val="20"/>
          <w:szCs w:val="20"/>
        </w:rPr>
        <w:t xml:space="preserve"> include almeno uno straniero</w:t>
      </w:r>
      <w:r w:rsidR="00133C71">
        <w:rPr>
          <w:rFonts w:ascii="Trebuchet MS" w:hAnsi="Trebuchet MS" w:cs="Arial"/>
          <w:color w:val="5F5F5F"/>
          <w:sz w:val="20"/>
          <w:szCs w:val="20"/>
        </w:rPr>
        <w:t xml:space="preserve"> (il 4</w:t>
      </w:r>
      <w:r w:rsidR="00F71246">
        <w:rPr>
          <w:rFonts w:ascii="Trebuchet MS" w:hAnsi="Trebuchet MS" w:cs="Arial"/>
          <w:color w:val="5F5F5F"/>
          <w:sz w:val="20"/>
          <w:szCs w:val="20"/>
        </w:rPr>
        <w:t>,0</w:t>
      </w:r>
      <w:r w:rsidR="00133C71">
        <w:rPr>
          <w:rFonts w:ascii="Trebuchet MS" w:hAnsi="Trebuchet MS" w:cs="Arial"/>
          <w:color w:val="5F5F5F"/>
          <w:sz w:val="20"/>
          <w:szCs w:val="20"/>
        </w:rPr>
        <w:t xml:space="preserve">% </w:t>
      </w:r>
      <w:r>
        <w:rPr>
          <w:rFonts w:ascii="Trebuchet MS" w:hAnsi="Trebuchet MS" w:cs="Arial"/>
          <w:color w:val="5F5F5F"/>
          <w:sz w:val="20"/>
          <w:szCs w:val="20"/>
        </w:rPr>
        <w:t xml:space="preserve">a </w:t>
      </w:r>
      <w:r w:rsidR="00133C71">
        <w:rPr>
          <w:rFonts w:ascii="Trebuchet MS" w:hAnsi="Trebuchet MS" w:cs="Arial"/>
          <w:color w:val="5F5F5F"/>
          <w:sz w:val="20"/>
          <w:szCs w:val="20"/>
        </w:rPr>
        <w:t>Potenza)</w:t>
      </w:r>
      <w:r w:rsidR="00266A3F">
        <w:rPr>
          <w:rFonts w:ascii="Trebuchet MS" w:hAnsi="Trebuchet MS" w:cs="Arial"/>
          <w:color w:val="5F5F5F"/>
          <w:sz w:val="20"/>
          <w:szCs w:val="20"/>
        </w:rPr>
        <w:t>.</w:t>
      </w:r>
    </w:p>
    <w:p w14:paraId="77276722" w14:textId="6CF577FC" w:rsidR="00703DC9" w:rsidRDefault="00713C81" w:rsidP="00FA2069">
      <w:pPr>
        <w:spacing w:after="120"/>
        <w:jc w:val="both"/>
        <w:rPr>
          <w:rFonts w:ascii="Trebuchet MS" w:hAnsi="Trebuchet MS" w:cs="Arial"/>
          <w:color w:val="5F5F5F"/>
          <w:sz w:val="20"/>
          <w:szCs w:val="20"/>
        </w:rPr>
      </w:pPr>
      <w:r>
        <w:rPr>
          <w:rFonts w:ascii="Trebuchet MS" w:hAnsi="Trebuchet MS" w:cs="Arial"/>
          <w:color w:val="5F5F5F"/>
          <w:sz w:val="20"/>
          <w:szCs w:val="20"/>
        </w:rPr>
        <w:t xml:space="preserve">I comuni </w:t>
      </w:r>
      <w:r w:rsidR="00593959">
        <w:rPr>
          <w:rFonts w:ascii="Trebuchet MS" w:hAnsi="Trebuchet MS" w:cs="Arial"/>
          <w:color w:val="5F5F5F"/>
          <w:sz w:val="20"/>
          <w:szCs w:val="20"/>
        </w:rPr>
        <w:t>con</w:t>
      </w:r>
      <w:r>
        <w:rPr>
          <w:rFonts w:ascii="Trebuchet MS" w:hAnsi="Trebuchet MS" w:cs="Arial"/>
          <w:color w:val="5F5F5F"/>
          <w:sz w:val="20"/>
          <w:szCs w:val="20"/>
        </w:rPr>
        <w:t xml:space="preserve"> numero medio di componenti più alto sono Pignola, Avigliano e Tito (2,6 componenti),</w:t>
      </w:r>
      <w:r w:rsidR="00DC45CC">
        <w:rPr>
          <w:rFonts w:ascii="Trebuchet MS" w:hAnsi="Trebuchet MS" w:cs="Arial"/>
          <w:color w:val="5F5F5F"/>
          <w:sz w:val="20"/>
          <w:szCs w:val="20"/>
        </w:rPr>
        <w:t xml:space="preserve"> tutti in provincia di Potenza,</w:t>
      </w:r>
      <w:r>
        <w:rPr>
          <w:rFonts w:ascii="Trebuchet MS" w:hAnsi="Trebuchet MS" w:cs="Arial"/>
          <w:color w:val="5F5F5F"/>
          <w:sz w:val="20"/>
          <w:szCs w:val="20"/>
        </w:rPr>
        <w:t xml:space="preserve"> mentre</w:t>
      </w:r>
      <w:r w:rsidR="00133C71">
        <w:rPr>
          <w:rFonts w:ascii="Trebuchet MS" w:hAnsi="Trebuchet MS" w:cs="Arial"/>
          <w:color w:val="5F5F5F"/>
          <w:sz w:val="20"/>
          <w:szCs w:val="20"/>
        </w:rPr>
        <w:t xml:space="preserve"> il comune più piccolo della Basilicata, San Paolo Albanese, ha il numero medio più basso di componenti per famiglia (1,6)</w:t>
      </w:r>
      <w:r w:rsidR="008F116B">
        <w:rPr>
          <w:rFonts w:ascii="Trebuchet MS" w:hAnsi="Trebuchet MS" w:cs="Arial"/>
          <w:color w:val="5F5F5F"/>
          <w:sz w:val="20"/>
          <w:szCs w:val="20"/>
        </w:rPr>
        <w:t>.</w:t>
      </w:r>
    </w:p>
    <w:p w14:paraId="366D72D3" w14:textId="77777777" w:rsidR="00EA7D77" w:rsidRDefault="00EA7D77" w:rsidP="00FA2069">
      <w:pPr>
        <w:spacing w:after="120"/>
        <w:jc w:val="both"/>
        <w:rPr>
          <w:rFonts w:ascii="Trebuchet MS" w:hAnsi="Trebuchet MS" w:cs="Arial"/>
          <w:color w:val="5F5F5F"/>
          <w:sz w:val="20"/>
          <w:szCs w:val="20"/>
        </w:rPr>
      </w:pPr>
    </w:p>
    <w:p w14:paraId="0B84B8EF" w14:textId="7C4EE533" w:rsidR="004162C3" w:rsidRPr="004162C3" w:rsidRDefault="008C7BC5" w:rsidP="004162C3">
      <w:pPr>
        <w:spacing w:after="120"/>
        <w:jc w:val="both"/>
        <w:rPr>
          <w:rFonts w:ascii="Trebuchet MS" w:hAnsi="Trebuchet MS" w:cs="Arial"/>
          <w:b/>
          <w:iCs/>
          <w:color w:val="5F5F5F"/>
          <w:kern w:val="28"/>
          <w:sz w:val="22"/>
          <w:szCs w:val="22"/>
        </w:rPr>
      </w:pPr>
      <w:r>
        <w:rPr>
          <w:rFonts w:ascii="Trebuchet MS" w:hAnsi="Trebuchet MS" w:cs="Arial"/>
          <w:b/>
          <w:iCs/>
          <w:color w:val="5F5F5F"/>
          <w:kern w:val="28"/>
          <w:sz w:val="22"/>
          <w:szCs w:val="22"/>
        </w:rPr>
        <w:t>Livello</w:t>
      </w:r>
      <w:r w:rsidR="004162C3" w:rsidRPr="004162C3">
        <w:rPr>
          <w:rFonts w:ascii="Trebuchet MS" w:hAnsi="Trebuchet MS" w:cs="Arial"/>
          <w:b/>
          <w:iCs/>
          <w:color w:val="5F5F5F"/>
          <w:kern w:val="28"/>
          <w:sz w:val="22"/>
          <w:szCs w:val="22"/>
        </w:rPr>
        <w:t xml:space="preserve"> di istruzione </w:t>
      </w:r>
    </w:p>
    <w:p w14:paraId="0CBB64E3" w14:textId="123D9CFA" w:rsidR="006F3500" w:rsidRPr="007E75F4" w:rsidRDefault="006F3500" w:rsidP="00364376">
      <w:pPr>
        <w:jc w:val="both"/>
        <w:rPr>
          <w:rFonts w:ascii="Trebuchet MS" w:hAnsi="Trebuchet MS" w:cs="Arial"/>
          <w:color w:val="5F5F5F"/>
          <w:sz w:val="20"/>
          <w:szCs w:val="20"/>
        </w:rPr>
      </w:pPr>
      <w:r w:rsidRPr="007E75F4">
        <w:rPr>
          <w:rFonts w:ascii="Trebuchet MS" w:hAnsi="Trebuchet MS" w:cs="Arial"/>
          <w:color w:val="5F5F5F"/>
          <w:sz w:val="20"/>
          <w:szCs w:val="20"/>
        </w:rPr>
        <w:t>Si innalza il livello medio d’istruzione della popolazione residente di 9 anni e più in Basilicata, grazie alla crescita continua della scolarizzazione e al conseguimento di titoli di livello superiore. Rispetto al 2019 diminuisce nel complesso la quota di popolazione con un basso livello d’istruzione: coloro che sono privi di un titolo di studio passano dal 6,7% al 6,2%, le licenze elementari dal 16,3% al 16,0%, quelle di scuola media dal 28,2% al 27,8%</w:t>
      </w:r>
      <w:r w:rsidR="002C7038" w:rsidRPr="007E75F4">
        <w:rPr>
          <w:rFonts w:ascii="Trebuchet MS" w:hAnsi="Trebuchet MS" w:cs="Arial"/>
          <w:color w:val="5F5F5F"/>
          <w:sz w:val="20"/>
          <w:szCs w:val="20"/>
        </w:rPr>
        <w:t xml:space="preserve"> (Prospetto 10).</w:t>
      </w:r>
    </w:p>
    <w:p w14:paraId="5A10185E" w14:textId="5A5EA2A6" w:rsidR="00364376" w:rsidRDefault="006F3500" w:rsidP="00364376">
      <w:pPr>
        <w:jc w:val="both"/>
        <w:rPr>
          <w:rFonts w:ascii="Trebuchet MS" w:hAnsi="Trebuchet MS" w:cs="Arial"/>
          <w:color w:val="5F5F5F"/>
          <w:sz w:val="20"/>
          <w:szCs w:val="20"/>
        </w:rPr>
      </w:pPr>
      <w:r w:rsidRPr="007E75F4">
        <w:rPr>
          <w:rFonts w:ascii="Trebuchet MS" w:hAnsi="Trebuchet MS" w:cs="Arial"/>
          <w:color w:val="5F5F5F"/>
          <w:sz w:val="20"/>
          <w:szCs w:val="20"/>
        </w:rPr>
        <w:t>Nel contempo la percentuale dei diplomati</w:t>
      </w:r>
      <w:r w:rsidRPr="007E75F4">
        <w:rPr>
          <w:rStyle w:val="Rimandonotaapidipagina"/>
          <w:rFonts w:ascii="Trebuchet MS" w:hAnsi="Trebuchet MS" w:cs="Arial"/>
          <w:color w:val="5F5F5F"/>
          <w:sz w:val="20"/>
          <w:szCs w:val="20"/>
        </w:rPr>
        <w:footnoteReference w:id="2"/>
      </w:r>
      <w:r w:rsidRPr="007E75F4">
        <w:rPr>
          <w:rFonts w:ascii="Trebuchet MS" w:hAnsi="Trebuchet MS" w:cs="Arial"/>
          <w:color w:val="5F5F5F"/>
          <w:sz w:val="20"/>
          <w:szCs w:val="20"/>
        </w:rPr>
        <w:t xml:space="preserve"> e delle persone con istruzione terziaria (e superiore</w:t>
      </w:r>
      <w:r w:rsidRPr="007E75F4">
        <w:rPr>
          <w:rStyle w:val="Rimandonotaapidipagina"/>
          <w:rFonts w:ascii="Trebuchet MS" w:hAnsi="Trebuchet MS" w:cs="Arial"/>
          <w:color w:val="5F5F5F"/>
          <w:sz w:val="20"/>
          <w:szCs w:val="20"/>
        </w:rPr>
        <w:footnoteReference w:id="3"/>
      </w:r>
      <w:r w:rsidRPr="007E75F4">
        <w:rPr>
          <w:rFonts w:ascii="Trebuchet MS" w:hAnsi="Trebuchet MS" w:cs="Arial"/>
          <w:color w:val="5F5F5F"/>
          <w:sz w:val="20"/>
          <w:szCs w:val="20"/>
        </w:rPr>
        <w:t>) è aumentata, attestandosi al 35,</w:t>
      </w:r>
      <w:r w:rsidR="00E83F77">
        <w:rPr>
          <w:rFonts w:ascii="Trebuchet MS" w:hAnsi="Trebuchet MS" w:cs="Arial"/>
          <w:color w:val="5F5F5F"/>
          <w:sz w:val="20"/>
          <w:szCs w:val="20"/>
        </w:rPr>
        <w:t>9</w:t>
      </w:r>
      <w:r w:rsidRPr="007E75F4">
        <w:rPr>
          <w:rFonts w:ascii="Trebuchet MS" w:hAnsi="Trebuchet MS" w:cs="Arial"/>
          <w:color w:val="5F5F5F"/>
          <w:sz w:val="20"/>
          <w:szCs w:val="20"/>
        </w:rPr>
        <w:t xml:space="preserve">% e al </w:t>
      </w:r>
      <w:r w:rsidR="00E83F77">
        <w:rPr>
          <w:rFonts w:ascii="Trebuchet MS" w:hAnsi="Trebuchet MS" w:cs="Arial"/>
          <w:color w:val="5F5F5F"/>
          <w:sz w:val="20"/>
          <w:szCs w:val="20"/>
        </w:rPr>
        <w:t>14,1</w:t>
      </w:r>
      <w:r w:rsidRPr="007E75F4">
        <w:rPr>
          <w:rFonts w:ascii="Trebuchet MS" w:hAnsi="Trebuchet MS" w:cs="Arial"/>
          <w:color w:val="5F5F5F"/>
          <w:sz w:val="20"/>
          <w:szCs w:val="20"/>
        </w:rPr>
        <w:t>% rispettivamente. L’incremento dell’incidenza nei titoli universitari è da attribuire quasi interamente a quelli di II livello (crescono di oltre 2</w:t>
      </w:r>
      <w:r w:rsidR="00DB3EED">
        <w:rPr>
          <w:rFonts w:ascii="Trebuchet MS" w:hAnsi="Trebuchet MS" w:cs="Arial"/>
          <w:color w:val="5F5F5F"/>
          <w:sz w:val="20"/>
          <w:szCs w:val="20"/>
        </w:rPr>
        <w:t xml:space="preserve"> </w:t>
      </w:r>
      <w:r w:rsidRPr="007E75F4">
        <w:rPr>
          <w:rFonts w:ascii="Trebuchet MS" w:hAnsi="Trebuchet MS" w:cs="Arial"/>
          <w:color w:val="5F5F5F"/>
          <w:sz w:val="20"/>
          <w:szCs w:val="20"/>
        </w:rPr>
        <w:t xml:space="preserve">mila unità, con un </w:t>
      </w:r>
      <w:r w:rsidRPr="00F8168D">
        <w:rPr>
          <w:rFonts w:ascii="Trebuchet MS" w:hAnsi="Trebuchet MS" w:cs="Arial"/>
          <w:color w:val="5F5F5F"/>
          <w:sz w:val="20"/>
          <w:szCs w:val="20"/>
        </w:rPr>
        <w:t xml:space="preserve">tasso di variazione del +4,5%).  </w:t>
      </w:r>
    </w:p>
    <w:p w14:paraId="4E6C422A" w14:textId="77777777" w:rsidR="006F3500" w:rsidRDefault="006F3500" w:rsidP="00364376">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La distribuzione del grado di istruzione della popolazione lucana si caratterizza per una peculiare geografia comunale, condizionata dalla struttura per età e cittadinanza della popolazione e dal tessuto </w:t>
      </w:r>
      <w:r w:rsidRPr="007E75F4">
        <w:rPr>
          <w:rFonts w:ascii="Trebuchet MS" w:hAnsi="Trebuchet MS" w:cs="Arial"/>
          <w:color w:val="5F5F5F"/>
          <w:sz w:val="20"/>
          <w:szCs w:val="20"/>
        </w:rPr>
        <w:br/>
        <w:t>socio-economico di riferimento, per la presenza di strutture universitarie o di adeguate infrastrutture di mobilità.</w:t>
      </w:r>
    </w:p>
    <w:p w14:paraId="3446EFCE" w14:textId="77777777" w:rsidR="004162C3" w:rsidRPr="00D46435" w:rsidRDefault="004162C3" w:rsidP="004162C3">
      <w:pPr>
        <w:spacing w:after="120"/>
        <w:jc w:val="both"/>
        <w:rPr>
          <w:rFonts w:ascii="Trebuchet MS" w:hAnsi="Trebuchet MS" w:cs="Arial"/>
          <w:color w:val="5F5F5F"/>
          <w:sz w:val="16"/>
          <w:szCs w:val="16"/>
        </w:rPr>
      </w:pPr>
    </w:p>
    <w:p w14:paraId="206A8E9A" w14:textId="77777777" w:rsidR="004162C3" w:rsidRPr="001A589C" w:rsidRDefault="004162C3" w:rsidP="004162C3">
      <w:pPr>
        <w:spacing w:after="120"/>
        <w:jc w:val="both"/>
        <w:rPr>
          <w:rFonts w:ascii="Arial Narrow" w:hAnsi="Arial Narrow"/>
          <w:color w:val="595959" w:themeColor="text1" w:themeTint="A6"/>
          <w:sz w:val="20"/>
          <w:szCs w:val="22"/>
        </w:rPr>
      </w:pPr>
      <w:r w:rsidRPr="001A589C">
        <w:rPr>
          <w:rFonts w:ascii="Arial Narrow" w:hAnsi="Arial Narrow"/>
          <w:b/>
          <w:bCs/>
          <w:color w:val="595959" w:themeColor="text1" w:themeTint="A6"/>
          <w:sz w:val="22"/>
          <w:szCs w:val="22"/>
        </w:rPr>
        <w:t>PROSPETTO 10.</w:t>
      </w:r>
      <w:r w:rsidRPr="001A589C">
        <w:rPr>
          <w:rFonts w:ascii="Arial Narrow" w:hAnsi="Arial Narrow" w:cs="Calibri"/>
          <w:b/>
          <w:bCs/>
          <w:color w:val="595959" w:themeColor="text1" w:themeTint="A6"/>
          <w:sz w:val="20"/>
          <w:szCs w:val="20"/>
        </w:rPr>
        <w:t xml:space="preserve"> </w:t>
      </w:r>
      <w:r w:rsidRPr="001A589C">
        <w:rPr>
          <w:rFonts w:ascii="Arial Narrow" w:hAnsi="Arial Narrow"/>
          <w:color w:val="595959" w:themeColor="text1" w:themeTint="A6"/>
          <w:sz w:val="22"/>
          <w:szCs w:val="22"/>
        </w:rPr>
        <w:t>POPOLAZIONE DI 9 ANNI E PI</w:t>
      </w:r>
      <w:r w:rsidRPr="001A589C">
        <w:rPr>
          <w:rFonts w:ascii="Arial Narrow" w:hAnsi="Arial Narrow"/>
          <w:caps/>
          <w:color w:val="595959" w:themeColor="text1" w:themeTint="A6"/>
          <w:sz w:val="22"/>
          <w:szCs w:val="22"/>
        </w:rPr>
        <w:t>ù</w:t>
      </w:r>
      <w:r w:rsidRPr="001A589C">
        <w:rPr>
          <w:rFonts w:ascii="Arial Narrow" w:hAnsi="Arial Narrow"/>
          <w:color w:val="595959" w:themeColor="text1" w:themeTint="A6"/>
          <w:sz w:val="22"/>
          <w:szCs w:val="22"/>
        </w:rPr>
        <w:t xml:space="preserve"> PER GRADO DI ISTRUZIONE E PROVINCIA. Censimento 2020. </w:t>
      </w:r>
      <w:r w:rsidRPr="001A589C">
        <w:rPr>
          <w:rFonts w:ascii="Arial Narrow" w:hAnsi="Arial Narrow"/>
          <w:color w:val="595959" w:themeColor="text1" w:themeTint="A6"/>
          <w:sz w:val="20"/>
          <w:szCs w:val="22"/>
        </w:rPr>
        <w:t>Valori assoluti e composizione percentuale</w:t>
      </w:r>
    </w:p>
    <w:tbl>
      <w:tblPr>
        <w:tblW w:w="9460" w:type="dxa"/>
        <w:tblCellMar>
          <w:left w:w="70" w:type="dxa"/>
          <w:right w:w="70" w:type="dxa"/>
        </w:tblCellMar>
        <w:tblLook w:val="04A0" w:firstRow="1" w:lastRow="0" w:firstColumn="1" w:lastColumn="0" w:noHBand="0" w:noVBand="1"/>
      </w:tblPr>
      <w:tblGrid>
        <w:gridCol w:w="1360"/>
        <w:gridCol w:w="854"/>
        <w:gridCol w:w="1280"/>
        <w:gridCol w:w="920"/>
        <w:gridCol w:w="840"/>
        <w:gridCol w:w="936"/>
        <w:gridCol w:w="840"/>
        <w:gridCol w:w="880"/>
        <w:gridCol w:w="840"/>
        <w:gridCol w:w="840"/>
      </w:tblGrid>
      <w:tr w:rsidR="00EA07AD" w14:paraId="00FE51A5" w14:textId="77777777" w:rsidTr="00EA07AD">
        <w:trPr>
          <w:trHeight w:val="555"/>
        </w:trPr>
        <w:tc>
          <w:tcPr>
            <w:tcW w:w="1360" w:type="dxa"/>
            <w:tcBorders>
              <w:top w:val="single" w:sz="4" w:space="0" w:color="auto"/>
              <w:left w:val="nil"/>
              <w:bottom w:val="single" w:sz="4" w:space="0" w:color="auto"/>
              <w:right w:val="nil"/>
            </w:tcBorders>
            <w:shd w:val="clear" w:color="auto" w:fill="auto"/>
            <w:noWrap/>
            <w:vAlign w:val="center"/>
            <w:hideMark/>
          </w:tcPr>
          <w:p w14:paraId="53455E07" w14:textId="77777777" w:rsidR="00EA07AD" w:rsidRDefault="00EA07AD">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840" w:type="dxa"/>
            <w:tcBorders>
              <w:top w:val="single" w:sz="4" w:space="0" w:color="auto"/>
              <w:left w:val="nil"/>
              <w:bottom w:val="single" w:sz="4" w:space="0" w:color="auto"/>
              <w:right w:val="nil"/>
            </w:tcBorders>
            <w:shd w:val="clear" w:color="auto" w:fill="auto"/>
            <w:vAlign w:val="center"/>
            <w:hideMark/>
          </w:tcPr>
          <w:p w14:paraId="27350F15"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Analfabeti</w:t>
            </w:r>
          </w:p>
        </w:tc>
        <w:tc>
          <w:tcPr>
            <w:tcW w:w="1280" w:type="dxa"/>
            <w:tcBorders>
              <w:top w:val="single" w:sz="4" w:space="0" w:color="auto"/>
              <w:left w:val="nil"/>
              <w:bottom w:val="single" w:sz="4" w:space="0" w:color="auto"/>
              <w:right w:val="nil"/>
            </w:tcBorders>
            <w:shd w:val="clear" w:color="auto" w:fill="auto"/>
            <w:vAlign w:val="center"/>
            <w:hideMark/>
          </w:tcPr>
          <w:p w14:paraId="3990589E"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Alfabeti privi di titolo di studio</w:t>
            </w:r>
          </w:p>
        </w:tc>
        <w:tc>
          <w:tcPr>
            <w:tcW w:w="900" w:type="dxa"/>
            <w:tcBorders>
              <w:top w:val="single" w:sz="4" w:space="0" w:color="auto"/>
              <w:left w:val="nil"/>
              <w:bottom w:val="single" w:sz="4" w:space="0" w:color="auto"/>
              <w:right w:val="nil"/>
            </w:tcBorders>
            <w:shd w:val="clear" w:color="auto" w:fill="auto"/>
            <w:vAlign w:val="center"/>
            <w:hideMark/>
          </w:tcPr>
          <w:p w14:paraId="71A483E1"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Licenza elementare</w:t>
            </w:r>
          </w:p>
        </w:tc>
        <w:tc>
          <w:tcPr>
            <w:tcW w:w="840" w:type="dxa"/>
            <w:tcBorders>
              <w:top w:val="single" w:sz="4" w:space="0" w:color="auto"/>
              <w:left w:val="nil"/>
              <w:bottom w:val="single" w:sz="4" w:space="0" w:color="auto"/>
              <w:right w:val="nil"/>
            </w:tcBorders>
            <w:shd w:val="clear" w:color="auto" w:fill="auto"/>
            <w:vAlign w:val="center"/>
            <w:hideMark/>
          </w:tcPr>
          <w:p w14:paraId="4F6450D0"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Licenza media</w:t>
            </w:r>
          </w:p>
        </w:tc>
        <w:tc>
          <w:tcPr>
            <w:tcW w:w="840" w:type="dxa"/>
            <w:tcBorders>
              <w:top w:val="single" w:sz="4" w:space="0" w:color="auto"/>
              <w:left w:val="nil"/>
              <w:bottom w:val="single" w:sz="4" w:space="0" w:color="auto"/>
              <w:right w:val="nil"/>
            </w:tcBorders>
            <w:shd w:val="clear" w:color="auto" w:fill="auto"/>
            <w:vAlign w:val="center"/>
            <w:hideMark/>
          </w:tcPr>
          <w:p w14:paraId="567D21FD" w14:textId="11D42132"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Secondaria </w:t>
            </w:r>
            <w:r w:rsidR="007061D8">
              <w:rPr>
                <w:rFonts w:ascii="Arial Narrow" w:hAnsi="Arial Narrow" w:cs="Calibri"/>
                <w:b/>
                <w:bCs/>
                <w:color w:val="000000"/>
                <w:sz w:val="18"/>
                <w:szCs w:val="18"/>
              </w:rPr>
              <w:t xml:space="preserve">di </w:t>
            </w:r>
            <w:r>
              <w:rPr>
                <w:rFonts w:ascii="Arial Narrow" w:hAnsi="Arial Narrow" w:cs="Calibri"/>
                <w:b/>
                <w:bCs/>
                <w:color w:val="000000"/>
                <w:sz w:val="18"/>
                <w:szCs w:val="18"/>
              </w:rPr>
              <w:t>II grado</w:t>
            </w:r>
          </w:p>
        </w:tc>
        <w:tc>
          <w:tcPr>
            <w:tcW w:w="840" w:type="dxa"/>
            <w:tcBorders>
              <w:top w:val="single" w:sz="4" w:space="0" w:color="auto"/>
              <w:left w:val="nil"/>
              <w:bottom w:val="single" w:sz="4" w:space="0" w:color="auto"/>
              <w:right w:val="nil"/>
            </w:tcBorders>
            <w:shd w:val="clear" w:color="auto" w:fill="auto"/>
            <w:vAlign w:val="center"/>
            <w:hideMark/>
          </w:tcPr>
          <w:p w14:paraId="198DCC5E"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Terziario di I livello</w:t>
            </w:r>
          </w:p>
        </w:tc>
        <w:tc>
          <w:tcPr>
            <w:tcW w:w="880" w:type="dxa"/>
            <w:tcBorders>
              <w:top w:val="single" w:sz="4" w:space="0" w:color="auto"/>
              <w:left w:val="nil"/>
              <w:bottom w:val="single" w:sz="4" w:space="0" w:color="auto"/>
              <w:right w:val="nil"/>
            </w:tcBorders>
            <w:shd w:val="clear" w:color="auto" w:fill="auto"/>
            <w:vAlign w:val="center"/>
            <w:hideMark/>
          </w:tcPr>
          <w:p w14:paraId="6FE5E360"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Terziario di II livello</w:t>
            </w:r>
          </w:p>
        </w:tc>
        <w:tc>
          <w:tcPr>
            <w:tcW w:w="840" w:type="dxa"/>
            <w:tcBorders>
              <w:top w:val="single" w:sz="4" w:space="0" w:color="auto"/>
              <w:left w:val="nil"/>
              <w:bottom w:val="single" w:sz="4" w:space="0" w:color="auto"/>
              <w:right w:val="nil"/>
            </w:tcBorders>
            <w:shd w:val="clear" w:color="auto" w:fill="auto"/>
            <w:vAlign w:val="center"/>
            <w:hideMark/>
          </w:tcPr>
          <w:p w14:paraId="6150C0AD"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Dottorato di ricerca</w:t>
            </w:r>
          </w:p>
        </w:tc>
        <w:tc>
          <w:tcPr>
            <w:tcW w:w="840" w:type="dxa"/>
            <w:tcBorders>
              <w:top w:val="single" w:sz="4" w:space="0" w:color="auto"/>
              <w:left w:val="nil"/>
              <w:bottom w:val="single" w:sz="4" w:space="0" w:color="auto"/>
              <w:right w:val="nil"/>
            </w:tcBorders>
            <w:shd w:val="clear" w:color="auto" w:fill="auto"/>
            <w:vAlign w:val="center"/>
            <w:hideMark/>
          </w:tcPr>
          <w:p w14:paraId="71FC8EC7" w14:textId="77777777" w:rsidR="00EA07AD" w:rsidRDefault="00EA07AD">
            <w:pPr>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r>
      <w:tr w:rsidR="00EA07AD" w14:paraId="27074180" w14:textId="77777777" w:rsidTr="00EA07AD">
        <w:trPr>
          <w:trHeight w:val="300"/>
        </w:trPr>
        <w:tc>
          <w:tcPr>
            <w:tcW w:w="1360" w:type="dxa"/>
            <w:tcBorders>
              <w:top w:val="nil"/>
              <w:left w:val="nil"/>
              <w:bottom w:val="single" w:sz="4" w:space="0" w:color="auto"/>
              <w:right w:val="nil"/>
            </w:tcBorders>
            <w:shd w:val="clear" w:color="auto" w:fill="auto"/>
            <w:noWrap/>
            <w:vAlign w:val="center"/>
            <w:hideMark/>
          </w:tcPr>
          <w:p w14:paraId="378EE967" w14:textId="77777777" w:rsidR="00EA07AD" w:rsidRDefault="00EA07AD">
            <w:pPr>
              <w:rPr>
                <w:rFonts w:ascii="Arial Narrow" w:hAnsi="Arial Narrow" w:cs="Calibri"/>
                <w:color w:val="000000"/>
                <w:sz w:val="18"/>
                <w:szCs w:val="18"/>
              </w:rPr>
            </w:pPr>
            <w:r>
              <w:rPr>
                <w:rFonts w:ascii="Arial Narrow" w:hAnsi="Arial Narrow" w:cs="Calibri"/>
                <w:color w:val="000000"/>
                <w:sz w:val="18"/>
                <w:szCs w:val="18"/>
              </w:rPr>
              <w:t>Matera</w:t>
            </w:r>
          </w:p>
        </w:tc>
        <w:tc>
          <w:tcPr>
            <w:tcW w:w="840" w:type="dxa"/>
            <w:tcBorders>
              <w:top w:val="nil"/>
              <w:left w:val="nil"/>
              <w:bottom w:val="single" w:sz="4" w:space="0" w:color="auto"/>
              <w:right w:val="nil"/>
            </w:tcBorders>
            <w:shd w:val="clear" w:color="000000" w:fill="E7E6E6"/>
            <w:noWrap/>
            <w:vAlign w:val="center"/>
            <w:hideMark/>
          </w:tcPr>
          <w:p w14:paraId="009CF2AF"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0,8</w:t>
            </w:r>
          </w:p>
        </w:tc>
        <w:tc>
          <w:tcPr>
            <w:tcW w:w="1280" w:type="dxa"/>
            <w:tcBorders>
              <w:top w:val="nil"/>
              <w:left w:val="nil"/>
              <w:bottom w:val="single" w:sz="4" w:space="0" w:color="auto"/>
              <w:right w:val="nil"/>
            </w:tcBorders>
            <w:shd w:val="clear" w:color="000000" w:fill="FFFFFF"/>
            <w:noWrap/>
            <w:vAlign w:val="center"/>
            <w:hideMark/>
          </w:tcPr>
          <w:p w14:paraId="2016CF7C"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5,0</w:t>
            </w:r>
          </w:p>
        </w:tc>
        <w:tc>
          <w:tcPr>
            <w:tcW w:w="900" w:type="dxa"/>
            <w:tcBorders>
              <w:top w:val="nil"/>
              <w:left w:val="nil"/>
              <w:bottom w:val="single" w:sz="4" w:space="0" w:color="auto"/>
              <w:right w:val="nil"/>
            </w:tcBorders>
            <w:shd w:val="clear" w:color="000000" w:fill="E7E6E6"/>
            <w:noWrap/>
            <w:vAlign w:val="center"/>
            <w:hideMark/>
          </w:tcPr>
          <w:p w14:paraId="26228C76"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15,4</w:t>
            </w:r>
          </w:p>
        </w:tc>
        <w:tc>
          <w:tcPr>
            <w:tcW w:w="840" w:type="dxa"/>
            <w:tcBorders>
              <w:top w:val="nil"/>
              <w:left w:val="nil"/>
              <w:bottom w:val="single" w:sz="4" w:space="0" w:color="auto"/>
              <w:right w:val="nil"/>
            </w:tcBorders>
            <w:shd w:val="clear" w:color="000000" w:fill="FFFFFF"/>
            <w:noWrap/>
            <w:vAlign w:val="center"/>
            <w:hideMark/>
          </w:tcPr>
          <w:p w14:paraId="167343A1"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28,3</w:t>
            </w:r>
          </w:p>
        </w:tc>
        <w:tc>
          <w:tcPr>
            <w:tcW w:w="840" w:type="dxa"/>
            <w:tcBorders>
              <w:top w:val="nil"/>
              <w:left w:val="nil"/>
              <w:bottom w:val="single" w:sz="4" w:space="0" w:color="auto"/>
              <w:right w:val="nil"/>
            </w:tcBorders>
            <w:shd w:val="clear" w:color="000000" w:fill="E7E6E6"/>
            <w:noWrap/>
            <w:vAlign w:val="center"/>
            <w:hideMark/>
          </w:tcPr>
          <w:p w14:paraId="5EF62E86"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36,4</w:t>
            </w:r>
          </w:p>
        </w:tc>
        <w:tc>
          <w:tcPr>
            <w:tcW w:w="840" w:type="dxa"/>
            <w:tcBorders>
              <w:top w:val="nil"/>
              <w:left w:val="nil"/>
              <w:bottom w:val="single" w:sz="4" w:space="0" w:color="auto"/>
              <w:right w:val="nil"/>
            </w:tcBorders>
            <w:shd w:val="clear" w:color="000000" w:fill="FFFFFF"/>
            <w:noWrap/>
            <w:vAlign w:val="center"/>
            <w:hideMark/>
          </w:tcPr>
          <w:p w14:paraId="2563A143"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3,6</w:t>
            </w:r>
          </w:p>
        </w:tc>
        <w:tc>
          <w:tcPr>
            <w:tcW w:w="880" w:type="dxa"/>
            <w:tcBorders>
              <w:top w:val="nil"/>
              <w:left w:val="nil"/>
              <w:bottom w:val="single" w:sz="4" w:space="0" w:color="auto"/>
              <w:right w:val="nil"/>
            </w:tcBorders>
            <w:shd w:val="clear" w:color="000000" w:fill="E7E6E6"/>
            <w:noWrap/>
            <w:vAlign w:val="center"/>
            <w:hideMark/>
          </w:tcPr>
          <w:p w14:paraId="7A2E4993"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10,3</w:t>
            </w:r>
          </w:p>
        </w:tc>
        <w:tc>
          <w:tcPr>
            <w:tcW w:w="840" w:type="dxa"/>
            <w:tcBorders>
              <w:top w:val="nil"/>
              <w:left w:val="nil"/>
              <w:bottom w:val="single" w:sz="4" w:space="0" w:color="auto"/>
              <w:right w:val="nil"/>
            </w:tcBorders>
            <w:shd w:val="clear" w:color="000000" w:fill="FFFFFF"/>
            <w:noWrap/>
            <w:vAlign w:val="center"/>
            <w:hideMark/>
          </w:tcPr>
          <w:p w14:paraId="5CC97C1E"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840" w:type="dxa"/>
            <w:tcBorders>
              <w:top w:val="nil"/>
              <w:left w:val="nil"/>
              <w:bottom w:val="single" w:sz="4" w:space="0" w:color="auto"/>
              <w:right w:val="nil"/>
            </w:tcBorders>
            <w:shd w:val="clear" w:color="000000" w:fill="E7E6E6"/>
            <w:noWrap/>
            <w:vAlign w:val="center"/>
            <w:hideMark/>
          </w:tcPr>
          <w:p w14:paraId="38AB8482"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A07AD" w14:paraId="6AB3E6EE" w14:textId="77777777" w:rsidTr="00EA07AD">
        <w:trPr>
          <w:trHeight w:val="300"/>
        </w:trPr>
        <w:tc>
          <w:tcPr>
            <w:tcW w:w="1360" w:type="dxa"/>
            <w:tcBorders>
              <w:top w:val="nil"/>
              <w:left w:val="nil"/>
              <w:bottom w:val="single" w:sz="4" w:space="0" w:color="auto"/>
              <w:right w:val="nil"/>
            </w:tcBorders>
            <w:shd w:val="clear" w:color="auto" w:fill="auto"/>
            <w:noWrap/>
            <w:vAlign w:val="center"/>
            <w:hideMark/>
          </w:tcPr>
          <w:p w14:paraId="5C688FE8" w14:textId="77777777" w:rsidR="00EA07AD" w:rsidRDefault="00EA07AD">
            <w:pPr>
              <w:rPr>
                <w:rFonts w:ascii="Arial Narrow" w:hAnsi="Arial Narrow" w:cs="Calibri"/>
                <w:color w:val="000000"/>
                <w:sz w:val="18"/>
                <w:szCs w:val="18"/>
              </w:rPr>
            </w:pPr>
            <w:r>
              <w:rPr>
                <w:rFonts w:ascii="Arial Narrow" w:hAnsi="Arial Narrow" w:cs="Calibri"/>
                <w:color w:val="000000"/>
                <w:sz w:val="18"/>
                <w:szCs w:val="18"/>
              </w:rPr>
              <w:t>Potenza</w:t>
            </w:r>
          </w:p>
        </w:tc>
        <w:tc>
          <w:tcPr>
            <w:tcW w:w="840" w:type="dxa"/>
            <w:tcBorders>
              <w:top w:val="nil"/>
              <w:left w:val="nil"/>
              <w:bottom w:val="single" w:sz="4" w:space="0" w:color="auto"/>
              <w:right w:val="nil"/>
            </w:tcBorders>
            <w:shd w:val="clear" w:color="000000" w:fill="E7E6E6"/>
            <w:noWrap/>
            <w:vAlign w:val="center"/>
            <w:hideMark/>
          </w:tcPr>
          <w:p w14:paraId="3265B144"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1,4</w:t>
            </w:r>
          </w:p>
        </w:tc>
        <w:tc>
          <w:tcPr>
            <w:tcW w:w="1280" w:type="dxa"/>
            <w:tcBorders>
              <w:top w:val="nil"/>
              <w:left w:val="nil"/>
              <w:bottom w:val="single" w:sz="4" w:space="0" w:color="auto"/>
              <w:right w:val="nil"/>
            </w:tcBorders>
            <w:shd w:val="clear" w:color="000000" w:fill="FFFFFF"/>
            <w:noWrap/>
            <w:vAlign w:val="center"/>
            <w:hideMark/>
          </w:tcPr>
          <w:p w14:paraId="024E4C75"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5,0</w:t>
            </w:r>
          </w:p>
        </w:tc>
        <w:tc>
          <w:tcPr>
            <w:tcW w:w="900" w:type="dxa"/>
            <w:tcBorders>
              <w:top w:val="nil"/>
              <w:left w:val="nil"/>
              <w:bottom w:val="single" w:sz="4" w:space="0" w:color="auto"/>
              <w:right w:val="nil"/>
            </w:tcBorders>
            <w:shd w:val="clear" w:color="000000" w:fill="E7E6E6"/>
            <w:noWrap/>
            <w:vAlign w:val="center"/>
            <w:hideMark/>
          </w:tcPr>
          <w:p w14:paraId="10D7D450"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16,3</w:t>
            </w:r>
          </w:p>
        </w:tc>
        <w:tc>
          <w:tcPr>
            <w:tcW w:w="840" w:type="dxa"/>
            <w:tcBorders>
              <w:top w:val="nil"/>
              <w:left w:val="nil"/>
              <w:bottom w:val="single" w:sz="4" w:space="0" w:color="auto"/>
              <w:right w:val="nil"/>
            </w:tcBorders>
            <w:shd w:val="clear" w:color="000000" w:fill="FFFFFF"/>
            <w:noWrap/>
            <w:vAlign w:val="center"/>
            <w:hideMark/>
          </w:tcPr>
          <w:p w14:paraId="42F8B032"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27,5</w:t>
            </w:r>
          </w:p>
        </w:tc>
        <w:tc>
          <w:tcPr>
            <w:tcW w:w="840" w:type="dxa"/>
            <w:tcBorders>
              <w:top w:val="nil"/>
              <w:left w:val="nil"/>
              <w:bottom w:val="single" w:sz="4" w:space="0" w:color="auto"/>
              <w:right w:val="nil"/>
            </w:tcBorders>
            <w:shd w:val="clear" w:color="000000" w:fill="E7E6E6"/>
            <w:noWrap/>
            <w:vAlign w:val="center"/>
            <w:hideMark/>
          </w:tcPr>
          <w:p w14:paraId="598C424F"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35,6</w:t>
            </w:r>
          </w:p>
        </w:tc>
        <w:tc>
          <w:tcPr>
            <w:tcW w:w="840" w:type="dxa"/>
            <w:tcBorders>
              <w:top w:val="nil"/>
              <w:left w:val="nil"/>
              <w:bottom w:val="single" w:sz="4" w:space="0" w:color="auto"/>
              <w:right w:val="nil"/>
            </w:tcBorders>
            <w:shd w:val="clear" w:color="000000" w:fill="FFFFFF"/>
            <w:noWrap/>
            <w:vAlign w:val="center"/>
            <w:hideMark/>
          </w:tcPr>
          <w:p w14:paraId="74D8A9DC"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3,9</w:t>
            </w:r>
          </w:p>
        </w:tc>
        <w:tc>
          <w:tcPr>
            <w:tcW w:w="880" w:type="dxa"/>
            <w:tcBorders>
              <w:top w:val="nil"/>
              <w:left w:val="nil"/>
              <w:bottom w:val="single" w:sz="4" w:space="0" w:color="auto"/>
              <w:right w:val="nil"/>
            </w:tcBorders>
            <w:shd w:val="clear" w:color="000000" w:fill="E7E6E6"/>
            <w:noWrap/>
            <w:vAlign w:val="center"/>
            <w:hideMark/>
          </w:tcPr>
          <w:p w14:paraId="36F962F8"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9,8</w:t>
            </w:r>
          </w:p>
        </w:tc>
        <w:tc>
          <w:tcPr>
            <w:tcW w:w="840" w:type="dxa"/>
            <w:tcBorders>
              <w:top w:val="nil"/>
              <w:left w:val="nil"/>
              <w:bottom w:val="single" w:sz="4" w:space="0" w:color="auto"/>
              <w:right w:val="nil"/>
            </w:tcBorders>
            <w:shd w:val="clear" w:color="000000" w:fill="FFFFFF"/>
            <w:noWrap/>
            <w:vAlign w:val="center"/>
            <w:hideMark/>
          </w:tcPr>
          <w:p w14:paraId="18569C49"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840" w:type="dxa"/>
            <w:tcBorders>
              <w:top w:val="nil"/>
              <w:left w:val="nil"/>
              <w:bottom w:val="single" w:sz="4" w:space="0" w:color="auto"/>
              <w:right w:val="nil"/>
            </w:tcBorders>
            <w:shd w:val="clear" w:color="000000" w:fill="E7E6E6"/>
            <w:noWrap/>
            <w:vAlign w:val="center"/>
            <w:hideMark/>
          </w:tcPr>
          <w:p w14:paraId="4DB66E57" w14:textId="77777777" w:rsidR="00EA07AD" w:rsidRDefault="00EA07AD">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A07AD" w14:paraId="7013C3EF" w14:textId="77777777" w:rsidTr="00EA07AD">
        <w:trPr>
          <w:trHeight w:val="300"/>
        </w:trPr>
        <w:tc>
          <w:tcPr>
            <w:tcW w:w="1360" w:type="dxa"/>
            <w:tcBorders>
              <w:top w:val="single" w:sz="4" w:space="0" w:color="auto"/>
              <w:left w:val="nil"/>
              <w:bottom w:val="single" w:sz="4" w:space="0" w:color="auto"/>
              <w:right w:val="nil"/>
            </w:tcBorders>
            <w:shd w:val="clear" w:color="000000" w:fill="C9321F"/>
            <w:noWrap/>
            <w:vAlign w:val="center"/>
            <w:hideMark/>
          </w:tcPr>
          <w:p w14:paraId="12AF24CF" w14:textId="77777777" w:rsidR="00EA07AD" w:rsidRDefault="00EA07AD">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840" w:type="dxa"/>
            <w:tcBorders>
              <w:top w:val="single" w:sz="4" w:space="0" w:color="auto"/>
              <w:left w:val="nil"/>
              <w:bottom w:val="single" w:sz="4" w:space="0" w:color="auto"/>
              <w:right w:val="nil"/>
            </w:tcBorders>
            <w:shd w:val="clear" w:color="000000" w:fill="C9321F"/>
            <w:noWrap/>
            <w:vAlign w:val="center"/>
            <w:hideMark/>
          </w:tcPr>
          <w:p w14:paraId="6423E5B3"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1,2</w:t>
            </w:r>
          </w:p>
        </w:tc>
        <w:tc>
          <w:tcPr>
            <w:tcW w:w="1280" w:type="dxa"/>
            <w:tcBorders>
              <w:top w:val="single" w:sz="4" w:space="0" w:color="auto"/>
              <w:left w:val="nil"/>
              <w:bottom w:val="single" w:sz="4" w:space="0" w:color="auto"/>
              <w:right w:val="nil"/>
            </w:tcBorders>
            <w:shd w:val="clear" w:color="000000" w:fill="C9321F"/>
            <w:noWrap/>
            <w:vAlign w:val="center"/>
            <w:hideMark/>
          </w:tcPr>
          <w:p w14:paraId="502FEF53"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5,0</w:t>
            </w:r>
          </w:p>
        </w:tc>
        <w:tc>
          <w:tcPr>
            <w:tcW w:w="900" w:type="dxa"/>
            <w:tcBorders>
              <w:top w:val="single" w:sz="4" w:space="0" w:color="auto"/>
              <w:left w:val="nil"/>
              <w:bottom w:val="single" w:sz="4" w:space="0" w:color="auto"/>
              <w:right w:val="nil"/>
            </w:tcBorders>
            <w:shd w:val="clear" w:color="000000" w:fill="C9321F"/>
            <w:noWrap/>
            <w:vAlign w:val="center"/>
            <w:hideMark/>
          </w:tcPr>
          <w:p w14:paraId="59FD2130"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16,0</w:t>
            </w:r>
          </w:p>
        </w:tc>
        <w:tc>
          <w:tcPr>
            <w:tcW w:w="840" w:type="dxa"/>
            <w:tcBorders>
              <w:top w:val="single" w:sz="4" w:space="0" w:color="auto"/>
              <w:left w:val="nil"/>
              <w:bottom w:val="single" w:sz="4" w:space="0" w:color="auto"/>
              <w:right w:val="nil"/>
            </w:tcBorders>
            <w:shd w:val="clear" w:color="000000" w:fill="C9321F"/>
            <w:noWrap/>
            <w:vAlign w:val="center"/>
            <w:hideMark/>
          </w:tcPr>
          <w:p w14:paraId="5EEF06B4"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27,8</w:t>
            </w:r>
          </w:p>
        </w:tc>
        <w:tc>
          <w:tcPr>
            <w:tcW w:w="840" w:type="dxa"/>
            <w:tcBorders>
              <w:top w:val="single" w:sz="4" w:space="0" w:color="auto"/>
              <w:left w:val="nil"/>
              <w:bottom w:val="single" w:sz="4" w:space="0" w:color="auto"/>
              <w:right w:val="nil"/>
            </w:tcBorders>
            <w:shd w:val="clear" w:color="000000" w:fill="C9321F"/>
            <w:noWrap/>
            <w:vAlign w:val="center"/>
            <w:hideMark/>
          </w:tcPr>
          <w:p w14:paraId="12E1002F"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35,9</w:t>
            </w:r>
          </w:p>
        </w:tc>
        <w:tc>
          <w:tcPr>
            <w:tcW w:w="840" w:type="dxa"/>
            <w:tcBorders>
              <w:top w:val="single" w:sz="4" w:space="0" w:color="auto"/>
              <w:left w:val="nil"/>
              <w:bottom w:val="single" w:sz="4" w:space="0" w:color="auto"/>
              <w:right w:val="nil"/>
            </w:tcBorders>
            <w:shd w:val="clear" w:color="000000" w:fill="C9321F"/>
            <w:noWrap/>
            <w:vAlign w:val="center"/>
            <w:hideMark/>
          </w:tcPr>
          <w:p w14:paraId="5CD0C7EA"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3,8</w:t>
            </w:r>
          </w:p>
        </w:tc>
        <w:tc>
          <w:tcPr>
            <w:tcW w:w="880" w:type="dxa"/>
            <w:tcBorders>
              <w:top w:val="single" w:sz="4" w:space="0" w:color="auto"/>
              <w:left w:val="nil"/>
              <w:bottom w:val="single" w:sz="4" w:space="0" w:color="auto"/>
              <w:right w:val="nil"/>
            </w:tcBorders>
            <w:shd w:val="clear" w:color="000000" w:fill="C9321F"/>
            <w:noWrap/>
            <w:vAlign w:val="center"/>
            <w:hideMark/>
          </w:tcPr>
          <w:p w14:paraId="509248BA"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10,0</w:t>
            </w:r>
          </w:p>
        </w:tc>
        <w:tc>
          <w:tcPr>
            <w:tcW w:w="840" w:type="dxa"/>
            <w:tcBorders>
              <w:top w:val="single" w:sz="4" w:space="0" w:color="auto"/>
              <w:left w:val="nil"/>
              <w:bottom w:val="single" w:sz="4" w:space="0" w:color="auto"/>
              <w:right w:val="nil"/>
            </w:tcBorders>
            <w:shd w:val="clear" w:color="000000" w:fill="C9321F"/>
            <w:noWrap/>
            <w:vAlign w:val="center"/>
            <w:hideMark/>
          </w:tcPr>
          <w:p w14:paraId="16FCF6EB"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0,3</w:t>
            </w:r>
          </w:p>
        </w:tc>
        <w:tc>
          <w:tcPr>
            <w:tcW w:w="840" w:type="dxa"/>
            <w:tcBorders>
              <w:top w:val="single" w:sz="4" w:space="0" w:color="auto"/>
              <w:left w:val="nil"/>
              <w:bottom w:val="single" w:sz="4" w:space="0" w:color="auto"/>
              <w:right w:val="nil"/>
            </w:tcBorders>
            <w:shd w:val="clear" w:color="000000" w:fill="C9321F"/>
            <w:noWrap/>
            <w:vAlign w:val="center"/>
            <w:hideMark/>
          </w:tcPr>
          <w:p w14:paraId="019945B4"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r w:rsidR="00EA07AD" w14:paraId="04BB7E32" w14:textId="77777777" w:rsidTr="00EA07AD">
        <w:trPr>
          <w:trHeight w:val="300"/>
        </w:trPr>
        <w:tc>
          <w:tcPr>
            <w:tcW w:w="1360" w:type="dxa"/>
            <w:tcBorders>
              <w:top w:val="single" w:sz="4" w:space="0" w:color="auto"/>
              <w:left w:val="nil"/>
              <w:bottom w:val="single" w:sz="4" w:space="0" w:color="auto"/>
              <w:right w:val="nil"/>
            </w:tcBorders>
            <w:shd w:val="clear" w:color="000000" w:fill="C9321F"/>
            <w:noWrap/>
            <w:vAlign w:val="center"/>
            <w:hideMark/>
          </w:tcPr>
          <w:p w14:paraId="415094D9" w14:textId="77777777" w:rsidR="00EA07AD" w:rsidRDefault="00EA07AD">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840" w:type="dxa"/>
            <w:tcBorders>
              <w:top w:val="single" w:sz="4" w:space="0" w:color="auto"/>
              <w:left w:val="nil"/>
              <w:bottom w:val="single" w:sz="4" w:space="0" w:color="auto"/>
              <w:right w:val="nil"/>
            </w:tcBorders>
            <w:shd w:val="clear" w:color="000000" w:fill="C9321F"/>
            <w:noWrap/>
            <w:vAlign w:val="center"/>
            <w:hideMark/>
          </w:tcPr>
          <w:p w14:paraId="4B6B12F0"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0,6</w:t>
            </w:r>
          </w:p>
        </w:tc>
        <w:tc>
          <w:tcPr>
            <w:tcW w:w="1280" w:type="dxa"/>
            <w:tcBorders>
              <w:top w:val="single" w:sz="4" w:space="0" w:color="auto"/>
              <w:left w:val="nil"/>
              <w:bottom w:val="single" w:sz="4" w:space="0" w:color="auto"/>
              <w:right w:val="nil"/>
            </w:tcBorders>
            <w:shd w:val="clear" w:color="000000" w:fill="C9321F"/>
            <w:noWrap/>
            <w:vAlign w:val="center"/>
            <w:hideMark/>
          </w:tcPr>
          <w:p w14:paraId="65C24D50"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3,8</w:t>
            </w:r>
          </w:p>
        </w:tc>
        <w:tc>
          <w:tcPr>
            <w:tcW w:w="900" w:type="dxa"/>
            <w:tcBorders>
              <w:top w:val="single" w:sz="4" w:space="0" w:color="auto"/>
              <w:left w:val="nil"/>
              <w:bottom w:val="single" w:sz="4" w:space="0" w:color="auto"/>
              <w:right w:val="nil"/>
            </w:tcBorders>
            <w:shd w:val="clear" w:color="000000" w:fill="C9321F"/>
            <w:noWrap/>
            <w:vAlign w:val="center"/>
            <w:hideMark/>
          </w:tcPr>
          <w:p w14:paraId="6A1CE4E1"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15,5</w:t>
            </w:r>
          </w:p>
        </w:tc>
        <w:tc>
          <w:tcPr>
            <w:tcW w:w="840" w:type="dxa"/>
            <w:tcBorders>
              <w:top w:val="single" w:sz="4" w:space="0" w:color="auto"/>
              <w:left w:val="nil"/>
              <w:bottom w:val="single" w:sz="4" w:space="0" w:color="auto"/>
              <w:right w:val="nil"/>
            </w:tcBorders>
            <w:shd w:val="clear" w:color="000000" w:fill="C9321F"/>
            <w:noWrap/>
            <w:vAlign w:val="center"/>
            <w:hideMark/>
          </w:tcPr>
          <w:p w14:paraId="71857E60"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29,3</w:t>
            </w:r>
          </w:p>
        </w:tc>
        <w:tc>
          <w:tcPr>
            <w:tcW w:w="840" w:type="dxa"/>
            <w:tcBorders>
              <w:top w:val="single" w:sz="4" w:space="0" w:color="auto"/>
              <w:left w:val="nil"/>
              <w:bottom w:val="single" w:sz="4" w:space="0" w:color="auto"/>
              <w:right w:val="nil"/>
            </w:tcBorders>
            <w:shd w:val="clear" w:color="000000" w:fill="C9321F"/>
            <w:noWrap/>
            <w:vAlign w:val="center"/>
            <w:hideMark/>
          </w:tcPr>
          <w:p w14:paraId="294E25A2"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36,0</w:t>
            </w:r>
          </w:p>
        </w:tc>
        <w:tc>
          <w:tcPr>
            <w:tcW w:w="840" w:type="dxa"/>
            <w:tcBorders>
              <w:top w:val="single" w:sz="4" w:space="0" w:color="auto"/>
              <w:left w:val="nil"/>
              <w:bottom w:val="single" w:sz="4" w:space="0" w:color="auto"/>
              <w:right w:val="nil"/>
            </w:tcBorders>
            <w:shd w:val="clear" w:color="000000" w:fill="C9321F"/>
            <w:noWrap/>
            <w:vAlign w:val="center"/>
            <w:hideMark/>
          </w:tcPr>
          <w:p w14:paraId="36067BF6"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3,8</w:t>
            </w:r>
          </w:p>
        </w:tc>
        <w:tc>
          <w:tcPr>
            <w:tcW w:w="880" w:type="dxa"/>
            <w:tcBorders>
              <w:top w:val="single" w:sz="4" w:space="0" w:color="auto"/>
              <w:left w:val="nil"/>
              <w:bottom w:val="single" w:sz="4" w:space="0" w:color="auto"/>
              <w:right w:val="nil"/>
            </w:tcBorders>
            <w:shd w:val="clear" w:color="000000" w:fill="C9321F"/>
            <w:noWrap/>
            <w:vAlign w:val="center"/>
            <w:hideMark/>
          </w:tcPr>
          <w:p w14:paraId="31CE6A7A"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10,7</w:t>
            </w:r>
          </w:p>
        </w:tc>
        <w:tc>
          <w:tcPr>
            <w:tcW w:w="840" w:type="dxa"/>
            <w:tcBorders>
              <w:top w:val="single" w:sz="4" w:space="0" w:color="auto"/>
              <w:left w:val="nil"/>
              <w:bottom w:val="single" w:sz="4" w:space="0" w:color="auto"/>
              <w:right w:val="nil"/>
            </w:tcBorders>
            <w:shd w:val="clear" w:color="000000" w:fill="C9321F"/>
            <w:noWrap/>
            <w:vAlign w:val="center"/>
            <w:hideMark/>
          </w:tcPr>
          <w:p w14:paraId="56D7A98E"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0,4</w:t>
            </w:r>
          </w:p>
        </w:tc>
        <w:tc>
          <w:tcPr>
            <w:tcW w:w="840" w:type="dxa"/>
            <w:tcBorders>
              <w:top w:val="single" w:sz="4" w:space="0" w:color="auto"/>
              <w:left w:val="nil"/>
              <w:bottom w:val="single" w:sz="4" w:space="0" w:color="auto"/>
              <w:right w:val="nil"/>
            </w:tcBorders>
            <w:shd w:val="clear" w:color="000000" w:fill="C9321F"/>
            <w:noWrap/>
            <w:vAlign w:val="center"/>
            <w:hideMark/>
          </w:tcPr>
          <w:p w14:paraId="2A908142" w14:textId="77777777" w:rsidR="00EA07AD" w:rsidRDefault="00EA07AD">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14:paraId="09E054E3" w14:textId="77777777" w:rsidR="004162C3" w:rsidRDefault="004162C3" w:rsidP="004162C3">
      <w:pPr>
        <w:spacing w:after="120"/>
        <w:jc w:val="both"/>
        <w:rPr>
          <w:rFonts w:ascii="Trebuchet MS" w:hAnsi="Trebuchet MS" w:cs="Arial"/>
          <w:color w:val="5F5F5F"/>
          <w:sz w:val="20"/>
          <w:szCs w:val="20"/>
        </w:rPr>
      </w:pPr>
    </w:p>
    <w:p w14:paraId="10D35EDE" w14:textId="6C77FBE6" w:rsidR="006F3500" w:rsidRPr="007E75F4" w:rsidRDefault="006F3500" w:rsidP="006F3500">
      <w:pPr>
        <w:spacing w:after="120"/>
        <w:jc w:val="both"/>
        <w:rPr>
          <w:rFonts w:ascii="Trebuchet MS" w:hAnsi="Trebuchet MS" w:cs="Arial"/>
          <w:color w:val="5F5F5F"/>
          <w:sz w:val="20"/>
          <w:szCs w:val="20"/>
        </w:rPr>
      </w:pPr>
      <w:r w:rsidRPr="007E75F4">
        <w:rPr>
          <w:rFonts w:ascii="Trebuchet MS" w:hAnsi="Trebuchet MS" w:cs="Arial"/>
          <w:color w:val="5F5F5F"/>
          <w:sz w:val="20"/>
          <w:szCs w:val="20"/>
        </w:rPr>
        <w:t>Rispetto al contesto medio nazionale, l’analfabetismo o l’assenza di un titolo d’istruzione risulta in regione più diffuso (6,2% a fronte del 4,4%). A Potenza si rileva la quota più consistente di persone senza alcun titolo di studio (6,4%)</w:t>
      </w:r>
      <w:r w:rsidR="00DB3EED">
        <w:rPr>
          <w:rFonts w:ascii="Trebuchet MS" w:hAnsi="Trebuchet MS" w:cs="Arial"/>
          <w:color w:val="5F5F5F"/>
          <w:sz w:val="20"/>
          <w:szCs w:val="20"/>
        </w:rPr>
        <w:t xml:space="preserve"> mentre la</w:t>
      </w:r>
      <w:r w:rsidRPr="007E75F4">
        <w:rPr>
          <w:rFonts w:ascii="Trebuchet MS" w:hAnsi="Trebuchet MS" w:cs="Arial"/>
          <w:color w:val="5F5F5F"/>
          <w:sz w:val="20"/>
          <w:szCs w:val="20"/>
        </w:rPr>
        <w:t xml:space="preserve"> quota </w:t>
      </w:r>
      <w:r w:rsidR="00DB3EED">
        <w:rPr>
          <w:rFonts w:ascii="Trebuchet MS" w:hAnsi="Trebuchet MS" w:cs="Arial"/>
          <w:color w:val="5F5F5F"/>
          <w:sz w:val="20"/>
          <w:szCs w:val="20"/>
        </w:rPr>
        <w:t xml:space="preserve">risulta </w:t>
      </w:r>
      <w:r w:rsidRPr="007E75F4">
        <w:rPr>
          <w:rFonts w:ascii="Trebuchet MS" w:hAnsi="Trebuchet MS" w:cs="Arial"/>
          <w:color w:val="5F5F5F"/>
          <w:sz w:val="20"/>
          <w:szCs w:val="20"/>
        </w:rPr>
        <w:t xml:space="preserve">più bassa </w:t>
      </w:r>
      <w:r w:rsidR="00DB3EED">
        <w:rPr>
          <w:rFonts w:ascii="Trebuchet MS" w:hAnsi="Trebuchet MS" w:cs="Arial"/>
          <w:color w:val="5F5F5F"/>
          <w:sz w:val="20"/>
          <w:szCs w:val="20"/>
        </w:rPr>
        <w:t>in</w:t>
      </w:r>
      <w:r w:rsidR="00DB3EED" w:rsidRPr="007E75F4">
        <w:rPr>
          <w:rFonts w:ascii="Trebuchet MS" w:hAnsi="Trebuchet MS" w:cs="Arial"/>
          <w:color w:val="5F5F5F"/>
          <w:sz w:val="20"/>
          <w:szCs w:val="20"/>
        </w:rPr>
        <w:t xml:space="preserve"> </w:t>
      </w:r>
      <w:r w:rsidRPr="007E75F4">
        <w:rPr>
          <w:rFonts w:ascii="Trebuchet MS" w:hAnsi="Trebuchet MS" w:cs="Arial"/>
          <w:color w:val="5F5F5F"/>
          <w:sz w:val="20"/>
          <w:szCs w:val="20"/>
        </w:rPr>
        <w:t xml:space="preserve">provincia di Matera (5,8%). In particolare, 14 </w:t>
      </w:r>
      <w:r w:rsidR="00E83F77" w:rsidRPr="007E75F4">
        <w:rPr>
          <w:rFonts w:ascii="Trebuchet MS" w:hAnsi="Trebuchet MS" w:cs="Arial"/>
          <w:color w:val="5F5F5F"/>
          <w:sz w:val="20"/>
          <w:szCs w:val="20"/>
        </w:rPr>
        <w:t>person</w:t>
      </w:r>
      <w:r w:rsidR="00E83F77">
        <w:rPr>
          <w:rFonts w:ascii="Trebuchet MS" w:hAnsi="Trebuchet MS" w:cs="Arial"/>
          <w:color w:val="5F5F5F"/>
          <w:sz w:val="20"/>
          <w:szCs w:val="20"/>
        </w:rPr>
        <w:t>e</w:t>
      </w:r>
      <w:r w:rsidR="00E83F77" w:rsidRPr="007E75F4">
        <w:rPr>
          <w:rFonts w:ascii="Trebuchet MS" w:hAnsi="Trebuchet MS" w:cs="Arial"/>
          <w:color w:val="5F5F5F"/>
          <w:sz w:val="20"/>
          <w:szCs w:val="20"/>
        </w:rPr>
        <w:t xml:space="preserve"> </w:t>
      </w:r>
      <w:r w:rsidRPr="007E75F4">
        <w:rPr>
          <w:rFonts w:ascii="Trebuchet MS" w:hAnsi="Trebuchet MS" w:cs="Arial"/>
          <w:color w:val="5F5F5F"/>
          <w:sz w:val="20"/>
          <w:szCs w:val="20"/>
        </w:rPr>
        <w:t>su 1000 sono</w:t>
      </w:r>
      <w:r w:rsidR="002767DF">
        <w:rPr>
          <w:rFonts w:ascii="Trebuchet MS" w:hAnsi="Trebuchet MS" w:cs="Arial"/>
          <w:color w:val="5F5F5F"/>
          <w:sz w:val="20"/>
          <w:szCs w:val="20"/>
        </w:rPr>
        <w:t xml:space="preserve"> </w:t>
      </w:r>
      <w:r w:rsidRPr="007E75F4">
        <w:rPr>
          <w:rFonts w:ascii="Trebuchet MS" w:hAnsi="Trebuchet MS" w:cs="Arial"/>
          <w:color w:val="5F5F5F"/>
          <w:sz w:val="20"/>
          <w:szCs w:val="20"/>
        </w:rPr>
        <w:t xml:space="preserve">analfabeti a Potenza mentre </w:t>
      </w:r>
      <w:r w:rsidR="00DB3EED">
        <w:rPr>
          <w:rFonts w:ascii="Trebuchet MS" w:hAnsi="Trebuchet MS" w:cs="Arial"/>
          <w:color w:val="5F5F5F"/>
          <w:sz w:val="20"/>
          <w:szCs w:val="20"/>
        </w:rPr>
        <w:t>in</w:t>
      </w:r>
      <w:r w:rsidR="00DB3EED" w:rsidRPr="007E75F4">
        <w:rPr>
          <w:rFonts w:ascii="Trebuchet MS" w:hAnsi="Trebuchet MS" w:cs="Arial"/>
          <w:color w:val="5F5F5F"/>
          <w:sz w:val="20"/>
          <w:szCs w:val="20"/>
        </w:rPr>
        <w:t xml:space="preserve"> </w:t>
      </w:r>
      <w:r w:rsidRPr="007E75F4">
        <w:rPr>
          <w:rFonts w:ascii="Trebuchet MS" w:hAnsi="Trebuchet MS" w:cs="Arial"/>
          <w:color w:val="5F5F5F"/>
          <w:sz w:val="20"/>
          <w:szCs w:val="20"/>
        </w:rPr>
        <w:t xml:space="preserve">provincia di Matera ci sono in media solo 8 analfabeti ogni mille abitanti. Matera presenta anche una percentuale più bassa, rispetto a Potenza, di persone con la licenza di scuola elementare (15,4% e 16,3%) e più elevata </w:t>
      </w:r>
      <w:r w:rsidR="00F8168D">
        <w:rPr>
          <w:rFonts w:ascii="Trebuchet MS" w:hAnsi="Trebuchet MS" w:cs="Arial"/>
          <w:color w:val="5F5F5F"/>
          <w:sz w:val="20"/>
          <w:szCs w:val="20"/>
        </w:rPr>
        <w:t xml:space="preserve">tra </w:t>
      </w:r>
      <w:r w:rsidRPr="007E75F4">
        <w:rPr>
          <w:rFonts w:ascii="Trebuchet MS" w:hAnsi="Trebuchet MS" w:cs="Arial"/>
          <w:color w:val="5F5F5F"/>
          <w:sz w:val="20"/>
          <w:szCs w:val="20"/>
        </w:rPr>
        <w:t xml:space="preserve">quelle in possesso di licenza media e diploma di scuola secondaria </w:t>
      </w:r>
      <w:r w:rsidR="00DB3EED">
        <w:rPr>
          <w:rFonts w:ascii="Trebuchet MS" w:hAnsi="Trebuchet MS" w:cs="Arial"/>
          <w:color w:val="5F5F5F"/>
          <w:sz w:val="20"/>
          <w:szCs w:val="20"/>
        </w:rPr>
        <w:t xml:space="preserve">di </w:t>
      </w:r>
      <w:r w:rsidRPr="007E75F4">
        <w:rPr>
          <w:rFonts w:ascii="Trebuchet MS" w:hAnsi="Trebuchet MS" w:cs="Arial"/>
          <w:color w:val="5F5F5F"/>
          <w:sz w:val="20"/>
          <w:szCs w:val="20"/>
        </w:rPr>
        <w:t>secondo grado (28,3% e 36,4% rispettivamente).</w:t>
      </w:r>
    </w:p>
    <w:p w14:paraId="17EB23D2" w14:textId="11CC9AB4" w:rsidR="006F3500" w:rsidRDefault="006F3500" w:rsidP="00DA6179">
      <w:pPr>
        <w:jc w:val="both"/>
      </w:pPr>
      <w:r w:rsidRPr="007E75F4">
        <w:rPr>
          <w:rFonts w:ascii="Trebuchet MS" w:hAnsi="Trebuchet MS" w:cs="Arial"/>
          <w:color w:val="5F5F5F"/>
          <w:sz w:val="20"/>
          <w:szCs w:val="20"/>
        </w:rPr>
        <w:t xml:space="preserve">La quota di residenti con titoli di studio più alti è simile </w:t>
      </w:r>
      <w:r w:rsidR="00F80112">
        <w:rPr>
          <w:rFonts w:ascii="Trebuchet MS" w:hAnsi="Trebuchet MS" w:cs="Arial"/>
          <w:color w:val="5F5F5F"/>
          <w:sz w:val="20"/>
          <w:szCs w:val="20"/>
        </w:rPr>
        <w:t>nelle due</w:t>
      </w:r>
      <w:r w:rsidRPr="007E75F4">
        <w:rPr>
          <w:rFonts w:ascii="Trebuchet MS" w:hAnsi="Trebuchet MS" w:cs="Arial"/>
          <w:color w:val="5F5F5F"/>
          <w:sz w:val="20"/>
          <w:szCs w:val="20"/>
        </w:rPr>
        <w:t xml:space="preserve"> province: si contano a Matera e Potenza rispettivamente 2 e 3 dottori di ricerca su 1000 residenti (contro lo 0,4% nazionale)</w:t>
      </w:r>
      <w:r w:rsidR="00F80112">
        <w:rPr>
          <w:rFonts w:ascii="Trebuchet MS" w:hAnsi="Trebuchet MS" w:cs="Arial"/>
          <w:color w:val="5F5F5F"/>
          <w:sz w:val="20"/>
          <w:szCs w:val="20"/>
        </w:rPr>
        <w:t>;</w:t>
      </w:r>
      <w:r w:rsidRPr="007E75F4">
        <w:rPr>
          <w:rFonts w:ascii="Trebuchet MS" w:hAnsi="Trebuchet MS" w:cs="Arial"/>
          <w:color w:val="5F5F5F"/>
          <w:sz w:val="20"/>
          <w:szCs w:val="20"/>
        </w:rPr>
        <w:t xml:space="preserve"> i laureati sono </w:t>
      </w:r>
      <w:r w:rsidR="00F8168D">
        <w:rPr>
          <w:rFonts w:ascii="Trebuchet MS" w:hAnsi="Trebuchet MS" w:cs="Arial"/>
          <w:color w:val="5F5F5F"/>
          <w:sz w:val="20"/>
          <w:szCs w:val="20"/>
        </w:rPr>
        <w:t xml:space="preserve">il </w:t>
      </w:r>
      <w:r w:rsidRPr="007E75F4">
        <w:rPr>
          <w:rFonts w:ascii="Trebuchet MS" w:hAnsi="Trebuchet MS" w:cs="Arial"/>
          <w:color w:val="5F5F5F"/>
          <w:sz w:val="20"/>
          <w:szCs w:val="20"/>
        </w:rPr>
        <w:t xml:space="preserve">13,9% a Matera e </w:t>
      </w:r>
      <w:r w:rsidR="00F8168D">
        <w:rPr>
          <w:rFonts w:ascii="Trebuchet MS" w:hAnsi="Trebuchet MS" w:cs="Arial"/>
          <w:color w:val="5F5F5F"/>
          <w:sz w:val="20"/>
          <w:szCs w:val="20"/>
        </w:rPr>
        <w:t xml:space="preserve">il </w:t>
      </w:r>
      <w:r w:rsidRPr="007E75F4">
        <w:rPr>
          <w:rFonts w:ascii="Trebuchet MS" w:hAnsi="Trebuchet MS" w:cs="Arial"/>
          <w:color w:val="5F5F5F"/>
          <w:sz w:val="20"/>
          <w:szCs w:val="20"/>
        </w:rPr>
        <w:t xml:space="preserve">13,7% a Potenza e quasi tre su quattro </w:t>
      </w:r>
      <w:r w:rsidR="00F8168D">
        <w:rPr>
          <w:rFonts w:ascii="Trebuchet MS" w:hAnsi="Trebuchet MS" w:cs="Arial"/>
          <w:color w:val="5F5F5F"/>
          <w:sz w:val="20"/>
          <w:szCs w:val="20"/>
        </w:rPr>
        <w:t xml:space="preserve">hanno </w:t>
      </w:r>
      <w:r w:rsidRPr="007E75F4">
        <w:rPr>
          <w:rFonts w:ascii="Trebuchet MS" w:hAnsi="Trebuchet MS" w:cs="Arial"/>
          <w:color w:val="5F5F5F"/>
          <w:sz w:val="20"/>
          <w:szCs w:val="20"/>
        </w:rPr>
        <w:t>titoli di II livello.</w:t>
      </w:r>
      <w:r>
        <w:rPr>
          <w:rFonts w:ascii="Trebuchet MS" w:hAnsi="Trebuchet MS" w:cs="Arial"/>
          <w:color w:val="5F5F5F"/>
          <w:sz w:val="20"/>
          <w:szCs w:val="20"/>
        </w:rPr>
        <w:t xml:space="preserve"> </w:t>
      </w:r>
    </w:p>
    <w:p w14:paraId="194E36D0" w14:textId="12ADCFAB" w:rsidR="001B46E5" w:rsidRDefault="001B46E5">
      <w:pPr>
        <w:rPr>
          <w:rFonts w:ascii="Trebuchet MS" w:hAnsi="Trebuchet MS" w:cs="Arial"/>
          <w:color w:val="5F5F5F"/>
          <w:sz w:val="16"/>
          <w:szCs w:val="16"/>
        </w:rPr>
      </w:pPr>
      <w:r>
        <w:rPr>
          <w:rFonts w:ascii="Trebuchet MS" w:hAnsi="Trebuchet MS" w:cs="Arial"/>
          <w:color w:val="5F5F5F"/>
          <w:sz w:val="16"/>
          <w:szCs w:val="16"/>
        </w:rPr>
        <w:br w:type="page"/>
      </w:r>
    </w:p>
    <w:tbl>
      <w:tblPr>
        <w:tblStyle w:val="Grigliatabella"/>
        <w:tblW w:w="0" w:type="auto"/>
        <w:tblBorders>
          <w:top w:val="none" w:sz="0" w:space="0" w:color="auto"/>
        </w:tblBorders>
        <w:tblLook w:val="04A0" w:firstRow="1" w:lastRow="0" w:firstColumn="1" w:lastColumn="0" w:noHBand="0" w:noVBand="1"/>
      </w:tblPr>
      <w:tblGrid>
        <w:gridCol w:w="4819"/>
        <w:gridCol w:w="4819"/>
      </w:tblGrid>
      <w:tr w:rsidR="004162C3" w14:paraId="6120190C" w14:textId="77777777" w:rsidTr="001B46E5">
        <w:tc>
          <w:tcPr>
            <w:tcW w:w="4819" w:type="dxa"/>
            <w:tcBorders>
              <w:top w:val="nil"/>
              <w:left w:val="nil"/>
              <w:bottom w:val="single" w:sz="4" w:space="0" w:color="D9D9D9" w:themeColor="background1" w:themeShade="D9"/>
              <w:right w:val="nil"/>
            </w:tcBorders>
          </w:tcPr>
          <w:p w14:paraId="0E2BB0EF" w14:textId="77777777" w:rsidR="004162C3" w:rsidRPr="00047761" w:rsidRDefault="004162C3" w:rsidP="00C62A02">
            <w:pPr>
              <w:spacing w:after="120"/>
              <w:ind w:left="-105"/>
              <w:rPr>
                <w:rFonts w:ascii="Trebuchet MS" w:hAnsi="Trebuchet MS" w:cs="Arial"/>
                <w:color w:val="595959" w:themeColor="text1" w:themeTint="A6"/>
                <w:sz w:val="20"/>
                <w:szCs w:val="20"/>
              </w:rPr>
            </w:pPr>
            <w:r w:rsidRPr="00047761">
              <w:rPr>
                <w:rFonts w:ascii="Arial Narrow" w:hAnsi="Arial Narrow"/>
                <w:b/>
                <w:bCs/>
                <w:color w:val="595959" w:themeColor="text1" w:themeTint="A6"/>
                <w:sz w:val="22"/>
                <w:szCs w:val="22"/>
              </w:rPr>
              <w:lastRenderedPageBreak/>
              <w:t>FIGURA 4.</w:t>
            </w:r>
            <w:r w:rsidRPr="00047761">
              <w:rPr>
                <w:rFonts w:ascii="Arial Narrow" w:hAnsi="Arial Narrow"/>
                <w:color w:val="595959" w:themeColor="text1" w:themeTint="A6"/>
                <w:sz w:val="22"/>
                <w:szCs w:val="22"/>
              </w:rPr>
              <w:t xml:space="preserve"> POPOLAZIONE DI 9 ANNI E PIU’ PER GRADO DI ISTRUZIONE E GENERE. </w:t>
            </w:r>
            <w:r w:rsidRPr="00047761">
              <w:rPr>
                <w:rFonts w:ascii="Arial Narrow" w:hAnsi="Arial Narrow"/>
                <w:color w:val="595959" w:themeColor="text1" w:themeTint="A6"/>
                <w:sz w:val="20"/>
                <w:szCs w:val="20"/>
              </w:rPr>
              <w:t>Censimento 2020</w:t>
            </w:r>
            <w:r w:rsidRPr="00047761">
              <w:rPr>
                <w:rFonts w:ascii="Arial Narrow" w:hAnsi="Arial Narrow"/>
                <w:color w:val="595959" w:themeColor="text1" w:themeTint="A6"/>
                <w:sz w:val="19"/>
                <w:szCs w:val="19"/>
              </w:rPr>
              <w:t>. Valori percentuali (per 100 persone con lo stesso titolo)</w:t>
            </w:r>
          </w:p>
        </w:tc>
        <w:tc>
          <w:tcPr>
            <w:tcW w:w="4819" w:type="dxa"/>
            <w:tcBorders>
              <w:top w:val="nil"/>
              <w:left w:val="nil"/>
              <w:bottom w:val="single" w:sz="4" w:space="0" w:color="D9D9D9" w:themeColor="background1" w:themeShade="D9"/>
              <w:right w:val="nil"/>
            </w:tcBorders>
          </w:tcPr>
          <w:p w14:paraId="3D2F781F" w14:textId="77777777" w:rsidR="004162C3" w:rsidRPr="00047761" w:rsidRDefault="004162C3" w:rsidP="00C62A02">
            <w:pPr>
              <w:spacing w:after="120"/>
              <w:rPr>
                <w:rFonts w:ascii="Trebuchet MS" w:hAnsi="Trebuchet MS" w:cs="Arial"/>
                <w:color w:val="595959" w:themeColor="text1" w:themeTint="A6"/>
                <w:sz w:val="20"/>
                <w:szCs w:val="20"/>
              </w:rPr>
            </w:pPr>
            <w:r w:rsidRPr="00047761">
              <w:rPr>
                <w:rFonts w:ascii="Arial Narrow" w:hAnsi="Arial Narrow"/>
                <w:b/>
                <w:bCs/>
                <w:color w:val="595959" w:themeColor="text1" w:themeTint="A6"/>
                <w:sz w:val="22"/>
                <w:szCs w:val="22"/>
              </w:rPr>
              <w:t xml:space="preserve">FIGURA 5. </w:t>
            </w:r>
            <w:r w:rsidRPr="00047761">
              <w:rPr>
                <w:rFonts w:ascii="Arial Narrow" w:hAnsi="Arial Narrow"/>
                <w:color w:val="595959" w:themeColor="text1" w:themeTint="A6"/>
                <w:sz w:val="22"/>
                <w:szCs w:val="22"/>
              </w:rPr>
              <w:t xml:space="preserve">POPOLAZIONE DI 9 ANNI E PIU’ PER GRADO DI ISTRUZIONE E CITTADINANZA. </w:t>
            </w:r>
            <w:r w:rsidRPr="00047761">
              <w:rPr>
                <w:rFonts w:ascii="Arial Narrow" w:hAnsi="Arial Narrow"/>
                <w:color w:val="595959" w:themeColor="text1" w:themeTint="A6"/>
                <w:sz w:val="20"/>
                <w:szCs w:val="20"/>
              </w:rPr>
              <w:t>Censimento</w:t>
            </w:r>
            <w:r>
              <w:rPr>
                <w:rFonts w:ascii="Arial Narrow" w:hAnsi="Arial Narrow"/>
                <w:color w:val="595959" w:themeColor="text1" w:themeTint="A6"/>
                <w:sz w:val="20"/>
                <w:szCs w:val="20"/>
              </w:rPr>
              <w:t xml:space="preserve"> 2020. Valori percentuali</w:t>
            </w:r>
            <w:r w:rsidRPr="00047761">
              <w:rPr>
                <w:rFonts w:ascii="Arial Narrow" w:hAnsi="Arial Narrow"/>
                <w:color w:val="595959" w:themeColor="text1" w:themeTint="A6"/>
                <w:sz w:val="20"/>
                <w:szCs w:val="20"/>
              </w:rPr>
              <w:t>.</w:t>
            </w:r>
          </w:p>
        </w:tc>
      </w:tr>
      <w:tr w:rsidR="004162C3" w14:paraId="66082461" w14:textId="77777777" w:rsidTr="001B46E5">
        <w:tblPrEx>
          <w:tblCellMar>
            <w:left w:w="70" w:type="dxa"/>
            <w:right w:w="70" w:type="dxa"/>
          </w:tblCellMar>
        </w:tblPrEx>
        <w:trPr>
          <w:trHeight w:val="3621"/>
        </w:trPr>
        <w:tc>
          <w:tcPr>
            <w:tcW w:w="48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6DCEC2" w14:textId="7ADF78CC" w:rsidR="004162C3" w:rsidRDefault="005444AA" w:rsidP="00C62A02">
            <w:pPr>
              <w:spacing w:after="120"/>
              <w:jc w:val="both"/>
              <w:rPr>
                <w:rFonts w:ascii="Trebuchet MS" w:hAnsi="Trebuchet MS" w:cs="Arial"/>
                <w:color w:val="5F5F5F"/>
                <w:sz w:val="20"/>
                <w:szCs w:val="20"/>
              </w:rPr>
            </w:pPr>
            <w:r>
              <w:rPr>
                <w:noProof/>
              </w:rPr>
              <w:drawing>
                <wp:inline distT="0" distB="0" distL="0" distR="0" wp14:anchorId="6A2A24FD" wp14:editId="399384CC">
                  <wp:extent cx="3006000" cy="2210400"/>
                  <wp:effectExtent l="0" t="0" r="4445" b="0"/>
                  <wp:docPr id="9" name="Grafico 9">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8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A1A372" w14:textId="4711588D" w:rsidR="004162C3" w:rsidRDefault="005444AA" w:rsidP="00C62A02">
            <w:pPr>
              <w:spacing w:after="120"/>
              <w:jc w:val="both"/>
              <w:rPr>
                <w:rFonts w:ascii="Trebuchet MS" w:hAnsi="Trebuchet MS" w:cs="Arial"/>
                <w:color w:val="5F5F5F"/>
                <w:sz w:val="20"/>
                <w:szCs w:val="20"/>
              </w:rPr>
            </w:pPr>
            <w:r>
              <w:rPr>
                <w:noProof/>
              </w:rPr>
              <w:drawing>
                <wp:inline distT="0" distB="0" distL="0" distR="0" wp14:anchorId="7F7EF442" wp14:editId="6260E08E">
                  <wp:extent cx="3006000" cy="2210400"/>
                  <wp:effectExtent l="0" t="0" r="4445" b="0"/>
                  <wp:docPr id="15" name="Grafico 15">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12236244" w14:textId="77777777" w:rsidR="007A5978" w:rsidRDefault="007A5978" w:rsidP="004162C3">
      <w:pPr>
        <w:spacing w:after="120"/>
        <w:jc w:val="both"/>
        <w:rPr>
          <w:rFonts w:ascii="Trebuchet MS" w:hAnsi="Trebuchet MS" w:cs="Arial"/>
          <w:color w:val="5F5F5F"/>
          <w:sz w:val="20"/>
          <w:szCs w:val="20"/>
        </w:rPr>
      </w:pPr>
    </w:p>
    <w:p w14:paraId="0D7A76DE" w14:textId="486B2859" w:rsidR="00DB3DA4" w:rsidRPr="007E75F4" w:rsidRDefault="00DB3DA4" w:rsidP="00DB3DA4">
      <w:pPr>
        <w:spacing w:after="120"/>
        <w:jc w:val="both"/>
        <w:rPr>
          <w:rFonts w:ascii="Trebuchet MS" w:hAnsi="Trebuchet MS" w:cs="Arial"/>
          <w:color w:val="5F5F5F"/>
          <w:sz w:val="20"/>
          <w:szCs w:val="20"/>
        </w:rPr>
      </w:pPr>
      <w:r w:rsidRPr="007E75F4">
        <w:rPr>
          <w:rFonts w:ascii="Trebuchet MS" w:hAnsi="Trebuchet MS" w:cs="Arial"/>
          <w:color w:val="5F5F5F"/>
          <w:sz w:val="20"/>
          <w:szCs w:val="20"/>
        </w:rPr>
        <w:t>I risultati del Censimento consentono di cogliere le differenze territoriali del grado di istruzione rispetto ad alcune caratteristiche della popolazione residente, come il sesso e la cittadinanza (italiana o straniera)</w:t>
      </w:r>
      <w:r w:rsidR="00E83F77">
        <w:rPr>
          <w:rFonts w:ascii="Trebuchet MS" w:hAnsi="Trebuchet MS" w:cs="Arial"/>
          <w:color w:val="5F5F5F"/>
          <w:sz w:val="20"/>
          <w:szCs w:val="20"/>
        </w:rPr>
        <w:t xml:space="preserve"> (Figur</w:t>
      </w:r>
      <w:r w:rsidR="00852504">
        <w:rPr>
          <w:rFonts w:ascii="Trebuchet MS" w:hAnsi="Trebuchet MS" w:cs="Arial"/>
          <w:color w:val="5F5F5F"/>
          <w:sz w:val="20"/>
          <w:szCs w:val="20"/>
        </w:rPr>
        <w:t>e</w:t>
      </w:r>
      <w:r w:rsidR="00E83F77">
        <w:rPr>
          <w:rFonts w:ascii="Trebuchet MS" w:hAnsi="Trebuchet MS" w:cs="Arial"/>
          <w:color w:val="5F5F5F"/>
          <w:sz w:val="20"/>
          <w:szCs w:val="20"/>
        </w:rPr>
        <w:t xml:space="preserve"> 4 e 5)</w:t>
      </w:r>
      <w:r w:rsidRPr="007E75F4">
        <w:rPr>
          <w:rFonts w:ascii="Trebuchet MS" w:hAnsi="Trebuchet MS" w:cs="Arial"/>
          <w:color w:val="5F5F5F"/>
          <w:sz w:val="20"/>
          <w:szCs w:val="20"/>
        </w:rPr>
        <w:t>.</w:t>
      </w:r>
    </w:p>
    <w:p w14:paraId="2E2EC99D" w14:textId="51F7B76C" w:rsidR="00DB3DA4" w:rsidRPr="007E75F4" w:rsidRDefault="00DB3DA4" w:rsidP="00DB3DA4">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Raggiungono un titolo terziario (I, II livello o dottorato) più donne che uomini: su 100 persone residenti in regione con titolo universitario, 57 sono donne e rappresentano il 15,6% della popolazione femminile di 9 anni e </w:t>
      </w:r>
      <w:r w:rsidR="00852504">
        <w:rPr>
          <w:rFonts w:ascii="Trebuchet MS" w:hAnsi="Trebuchet MS" w:cs="Arial"/>
          <w:color w:val="5F5F5F"/>
          <w:sz w:val="20"/>
          <w:szCs w:val="20"/>
        </w:rPr>
        <w:t>più</w:t>
      </w:r>
      <w:r w:rsidR="00852504" w:rsidRPr="007E75F4">
        <w:rPr>
          <w:rFonts w:ascii="Trebuchet MS" w:hAnsi="Trebuchet MS" w:cs="Arial"/>
          <w:color w:val="5F5F5F"/>
          <w:sz w:val="20"/>
          <w:szCs w:val="20"/>
        </w:rPr>
        <w:t xml:space="preserve"> </w:t>
      </w:r>
      <w:r w:rsidRPr="007E75F4">
        <w:rPr>
          <w:rFonts w:ascii="Trebuchet MS" w:hAnsi="Trebuchet MS" w:cs="Arial"/>
          <w:color w:val="5F5F5F"/>
          <w:sz w:val="20"/>
          <w:szCs w:val="20"/>
        </w:rPr>
        <w:t xml:space="preserve">(rispetto al 12,4% degli </w:t>
      </w:r>
      <w:proofErr w:type="spellStart"/>
      <w:r w:rsidRPr="007E75F4">
        <w:rPr>
          <w:rFonts w:ascii="Trebuchet MS" w:hAnsi="Trebuchet MS" w:cs="Arial"/>
          <w:color w:val="5F5F5F"/>
          <w:sz w:val="20"/>
          <w:szCs w:val="20"/>
        </w:rPr>
        <w:t>uonimi</w:t>
      </w:r>
      <w:proofErr w:type="spellEnd"/>
      <w:r w:rsidRPr="007E75F4">
        <w:rPr>
          <w:rFonts w:ascii="Trebuchet MS" w:hAnsi="Trebuchet MS" w:cs="Arial"/>
          <w:color w:val="5F5F5F"/>
          <w:sz w:val="20"/>
          <w:szCs w:val="20"/>
        </w:rPr>
        <w:t>). La componente femminile è pari al 56,8% per la licenza elementare e sale fino a toccare il 63,9% tra gli analfabeti o alfabeti che non hanno conseguito alcun titolo di studio, laddove le donne senza istruzione sono il 7,8% (a fronte del 4,6% degli uomini). La componente maschile prevale in corrispondenza del diploma di scuola secondaria di secondo grado o di qualifica professionale (51,9%</w:t>
      </w:r>
      <w:r w:rsidR="00852504">
        <w:rPr>
          <w:rFonts w:ascii="Trebuchet MS" w:hAnsi="Trebuchet MS" w:cs="Arial"/>
          <w:color w:val="5F5F5F"/>
          <w:sz w:val="20"/>
          <w:szCs w:val="20"/>
        </w:rPr>
        <w:t>,</w:t>
      </w:r>
      <w:r w:rsidRPr="007E75F4">
        <w:rPr>
          <w:rFonts w:ascii="Trebuchet MS" w:hAnsi="Trebuchet MS" w:cs="Arial"/>
          <w:color w:val="5F5F5F"/>
          <w:sz w:val="20"/>
          <w:szCs w:val="20"/>
        </w:rPr>
        <w:t xml:space="preserve"> che rappresenta il </w:t>
      </w:r>
      <w:r w:rsidR="00664A4F">
        <w:rPr>
          <w:rFonts w:ascii="Trebuchet MS" w:hAnsi="Trebuchet MS" w:cs="Arial"/>
          <w:color w:val="5F5F5F"/>
          <w:sz w:val="20"/>
          <w:szCs w:val="20"/>
        </w:rPr>
        <w:t>38,1</w:t>
      </w:r>
      <w:r w:rsidRPr="007E75F4">
        <w:rPr>
          <w:rFonts w:ascii="Trebuchet MS" w:hAnsi="Trebuchet MS" w:cs="Arial"/>
          <w:color w:val="5F5F5F"/>
          <w:sz w:val="20"/>
          <w:szCs w:val="20"/>
        </w:rPr>
        <w:t xml:space="preserve">% della popolazione maschile) e della licenza di scuola media (54,3%, pari al </w:t>
      </w:r>
      <w:r w:rsidR="00664A4F">
        <w:rPr>
          <w:rFonts w:ascii="Trebuchet MS" w:hAnsi="Trebuchet MS" w:cs="Arial"/>
          <w:color w:val="5F5F5F"/>
          <w:sz w:val="20"/>
          <w:szCs w:val="20"/>
        </w:rPr>
        <w:t>30,8</w:t>
      </w:r>
      <w:r w:rsidRPr="007E75F4">
        <w:rPr>
          <w:rFonts w:ascii="Trebuchet MS" w:hAnsi="Trebuchet MS" w:cs="Arial"/>
          <w:color w:val="5F5F5F"/>
          <w:sz w:val="20"/>
          <w:szCs w:val="20"/>
        </w:rPr>
        <w:t xml:space="preserve">% della popolazione maschile contro </w:t>
      </w:r>
      <w:r w:rsidR="00F8168D">
        <w:rPr>
          <w:rFonts w:ascii="Trebuchet MS" w:hAnsi="Trebuchet MS" w:cs="Arial"/>
          <w:color w:val="5F5F5F"/>
          <w:sz w:val="20"/>
          <w:szCs w:val="20"/>
        </w:rPr>
        <w:t xml:space="preserve">il </w:t>
      </w:r>
      <w:r w:rsidR="00664A4F">
        <w:rPr>
          <w:rFonts w:ascii="Trebuchet MS" w:hAnsi="Trebuchet MS" w:cs="Arial"/>
          <w:color w:val="5F5F5F"/>
          <w:sz w:val="20"/>
          <w:szCs w:val="20"/>
        </w:rPr>
        <w:t>24,9</w:t>
      </w:r>
      <w:r w:rsidRPr="007E75F4">
        <w:rPr>
          <w:rFonts w:ascii="Trebuchet MS" w:hAnsi="Trebuchet MS" w:cs="Arial"/>
          <w:color w:val="5F5F5F"/>
          <w:sz w:val="20"/>
          <w:szCs w:val="20"/>
        </w:rPr>
        <w:t>% della femminile).</w:t>
      </w:r>
    </w:p>
    <w:p w14:paraId="53F950E5" w14:textId="332F126F" w:rsidR="00DB3DA4" w:rsidRPr="007E75F4" w:rsidRDefault="00DB3DA4" w:rsidP="00DB3DA4">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La disuguaglianza di genere, nel complesso più marcata che a livello nazionale, si distribuisce in maniera diversa sul territorio, in funzione anche della diversa struttura per età di uomini e donne nei vari gradi di istruzione. Il gap nel titolo terziario di I e II livello a favore delle donne (13,4 punti percentuali a livello regionale) è di quasi 2 punti percentuali più alto </w:t>
      </w:r>
      <w:r w:rsidR="00852504">
        <w:rPr>
          <w:rFonts w:ascii="Trebuchet MS" w:hAnsi="Trebuchet MS" w:cs="Arial"/>
          <w:color w:val="5F5F5F"/>
          <w:sz w:val="20"/>
          <w:szCs w:val="20"/>
        </w:rPr>
        <w:t>in</w:t>
      </w:r>
      <w:r w:rsidR="00852504" w:rsidRPr="007E75F4">
        <w:rPr>
          <w:rFonts w:ascii="Trebuchet MS" w:hAnsi="Trebuchet MS" w:cs="Arial"/>
          <w:color w:val="5F5F5F"/>
          <w:sz w:val="20"/>
          <w:szCs w:val="20"/>
        </w:rPr>
        <w:t xml:space="preserve"> </w:t>
      </w:r>
      <w:r w:rsidRPr="007E75F4">
        <w:rPr>
          <w:rFonts w:ascii="Trebuchet MS" w:hAnsi="Trebuchet MS" w:cs="Arial"/>
          <w:color w:val="5F5F5F"/>
          <w:sz w:val="20"/>
          <w:szCs w:val="20"/>
        </w:rPr>
        <w:t xml:space="preserve">provincia di Potenza rispetto </w:t>
      </w:r>
      <w:r w:rsidR="009B5716">
        <w:rPr>
          <w:rFonts w:ascii="Trebuchet MS" w:hAnsi="Trebuchet MS" w:cs="Arial"/>
          <w:color w:val="5F5F5F"/>
          <w:sz w:val="20"/>
          <w:szCs w:val="20"/>
        </w:rPr>
        <w:t>a</w:t>
      </w:r>
      <w:r w:rsidRPr="007E75F4">
        <w:rPr>
          <w:rFonts w:ascii="Trebuchet MS" w:hAnsi="Trebuchet MS" w:cs="Arial"/>
          <w:color w:val="5F5F5F"/>
          <w:sz w:val="20"/>
          <w:szCs w:val="20"/>
        </w:rPr>
        <w:t xml:space="preserve"> Matera (14,1 e 12,2 punti</w:t>
      </w:r>
      <w:r w:rsidR="00664A4F">
        <w:rPr>
          <w:rFonts w:ascii="Trebuchet MS" w:hAnsi="Trebuchet MS" w:cs="Arial"/>
          <w:color w:val="5F5F5F"/>
          <w:sz w:val="20"/>
          <w:szCs w:val="20"/>
        </w:rPr>
        <w:t>)</w:t>
      </w:r>
      <w:r w:rsidRPr="007E75F4">
        <w:rPr>
          <w:rFonts w:ascii="Trebuchet MS" w:hAnsi="Trebuchet MS" w:cs="Arial"/>
          <w:color w:val="5F5F5F"/>
          <w:sz w:val="20"/>
          <w:szCs w:val="20"/>
        </w:rPr>
        <w:t>.</w:t>
      </w:r>
    </w:p>
    <w:p w14:paraId="1EA13843" w14:textId="0D5EEFA5" w:rsidR="00DB3DA4" w:rsidRPr="007E75F4" w:rsidRDefault="00DB3DA4" w:rsidP="00DB3DA4">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La distribuzione del titolo di studio tra italiani e stranieri dipende non solo dal diverso background socio-economico, ma anche dalla struttura per età e genere che contraddistingue le diverse cittadinanze. </w:t>
      </w:r>
    </w:p>
    <w:p w14:paraId="29F8185D" w14:textId="77777777" w:rsidR="00DB3DA4" w:rsidRPr="007E75F4" w:rsidRDefault="00DB3DA4" w:rsidP="00DB3DA4">
      <w:pPr>
        <w:spacing w:after="120"/>
        <w:jc w:val="both"/>
        <w:rPr>
          <w:rFonts w:ascii="Trebuchet MS" w:hAnsi="Trebuchet MS" w:cs="Arial"/>
          <w:color w:val="5F5F5F"/>
          <w:sz w:val="20"/>
          <w:szCs w:val="20"/>
        </w:rPr>
      </w:pPr>
      <w:r w:rsidRPr="007E75F4">
        <w:rPr>
          <w:rFonts w:ascii="Trebuchet MS" w:hAnsi="Trebuchet MS" w:cs="Arial"/>
          <w:color w:val="5F5F5F"/>
          <w:sz w:val="20"/>
          <w:szCs w:val="20"/>
        </w:rPr>
        <w:t xml:space="preserve">Tra gli stranieri prevalgono coloro che sono in possesso della licenza media (il 38%), con uno scarto di oltre 10 punti percentuali in più rispetto agli italiani con lo stesso titolo; il 34,7% degli stranieri è in possesso del diploma di scuola secondaria superiore, titolo che presenta il gap di cittadinanza più contenuto (35,9% sono gli italiani). </w:t>
      </w:r>
    </w:p>
    <w:p w14:paraId="2DCB8034" w14:textId="00011FCD" w:rsidR="00DB3DA4" w:rsidRPr="007E75F4" w:rsidRDefault="00DB3DA4" w:rsidP="00DB3DA4">
      <w:pPr>
        <w:spacing w:after="120"/>
        <w:jc w:val="both"/>
        <w:rPr>
          <w:rFonts w:ascii="Trebuchet MS" w:hAnsi="Trebuchet MS" w:cs="Arial"/>
          <w:color w:val="5F5F5F"/>
          <w:sz w:val="20"/>
          <w:szCs w:val="20"/>
        </w:rPr>
      </w:pPr>
      <w:r w:rsidRPr="007E75F4">
        <w:rPr>
          <w:rFonts w:ascii="Trebuchet MS" w:hAnsi="Trebuchet MS" w:cs="Arial"/>
          <w:color w:val="5F5F5F"/>
          <w:sz w:val="20"/>
          <w:szCs w:val="20"/>
        </w:rPr>
        <w:t>Si contano poco più di 5 stranieri su 100 con titolo universitario, con una disparità molto ampia rispetto alla popolazione italiana (14,4%). La percentuale degli stranieri con la licenza elementare è pari al 13,6% (2 punti in meno rispetto agli italiani) e gli analfabet</w:t>
      </w:r>
      <w:r w:rsidR="009B5716">
        <w:rPr>
          <w:rFonts w:ascii="Trebuchet MS" w:hAnsi="Trebuchet MS" w:cs="Arial"/>
          <w:color w:val="5F5F5F"/>
          <w:sz w:val="20"/>
          <w:szCs w:val="20"/>
        </w:rPr>
        <w:t>i</w:t>
      </w:r>
      <w:r w:rsidRPr="007E75F4">
        <w:rPr>
          <w:rFonts w:ascii="Trebuchet MS" w:hAnsi="Trebuchet MS" w:cs="Arial"/>
          <w:color w:val="5F5F5F"/>
          <w:sz w:val="20"/>
          <w:szCs w:val="20"/>
        </w:rPr>
        <w:t xml:space="preserve"> o alfabeti privi di titolo di studio rappresentano l’8,1% degli stranieri, incidenza di 2 punti più alta rispetto a quella degli italiani (6,2%).</w:t>
      </w:r>
    </w:p>
    <w:p w14:paraId="6DAA52B0" w14:textId="70A47599" w:rsidR="00DF0FA5" w:rsidRDefault="00DF0FA5">
      <w:pPr>
        <w:rPr>
          <w:rFonts w:ascii="Trebuchet MS" w:hAnsi="Trebuchet MS" w:cs="Arial"/>
          <w:color w:val="5F5F5F"/>
          <w:sz w:val="20"/>
          <w:szCs w:val="20"/>
        </w:rPr>
      </w:pPr>
      <w:r>
        <w:rPr>
          <w:rFonts w:ascii="Trebuchet MS" w:hAnsi="Trebuchet MS" w:cs="Arial"/>
          <w:color w:val="5F5F5F"/>
          <w:sz w:val="20"/>
          <w:szCs w:val="20"/>
        </w:rPr>
        <w:br w:type="page"/>
      </w:r>
    </w:p>
    <w:p w14:paraId="05B29327" w14:textId="39865D3D" w:rsidR="004C1C69" w:rsidRPr="004162C3" w:rsidRDefault="008C7BC5" w:rsidP="00047761">
      <w:pPr>
        <w:spacing w:after="120"/>
        <w:jc w:val="both"/>
        <w:rPr>
          <w:rFonts w:ascii="Trebuchet MS" w:hAnsi="Trebuchet MS" w:cs="Arial"/>
          <w:b/>
          <w:iCs/>
          <w:color w:val="5F5F5F"/>
          <w:kern w:val="28"/>
          <w:sz w:val="22"/>
          <w:szCs w:val="22"/>
        </w:rPr>
      </w:pPr>
      <w:r w:rsidRPr="007E75F4">
        <w:rPr>
          <w:rFonts w:ascii="Trebuchet MS" w:hAnsi="Trebuchet MS" w:cs="Arial"/>
          <w:b/>
          <w:iCs/>
          <w:color w:val="5F5F5F"/>
          <w:kern w:val="28"/>
          <w:sz w:val="22"/>
          <w:szCs w:val="22"/>
        </w:rPr>
        <w:lastRenderedPageBreak/>
        <w:t>S</w:t>
      </w:r>
      <w:r w:rsidR="004C1C69" w:rsidRPr="007E75F4">
        <w:rPr>
          <w:rFonts w:ascii="Trebuchet MS" w:hAnsi="Trebuchet MS" w:cs="Arial"/>
          <w:b/>
          <w:iCs/>
          <w:color w:val="5F5F5F"/>
          <w:kern w:val="28"/>
          <w:sz w:val="22"/>
          <w:szCs w:val="22"/>
        </w:rPr>
        <w:t>postamenti per motivi di studio o lavoro</w:t>
      </w:r>
      <w:r w:rsidR="008C0254" w:rsidRPr="004162C3">
        <w:rPr>
          <w:rFonts w:ascii="Trebuchet MS" w:hAnsi="Trebuchet MS" w:cs="Arial"/>
          <w:b/>
          <w:iCs/>
          <w:color w:val="5F5F5F"/>
          <w:kern w:val="28"/>
          <w:sz w:val="22"/>
          <w:szCs w:val="22"/>
        </w:rPr>
        <w:t xml:space="preserve"> </w:t>
      </w:r>
    </w:p>
    <w:p w14:paraId="2EC3E562" w14:textId="0DB581FB" w:rsidR="004C1C69" w:rsidRDefault="004C1C69" w:rsidP="00CC4F56">
      <w:pPr>
        <w:spacing w:after="120"/>
        <w:jc w:val="both"/>
        <w:rPr>
          <w:rFonts w:ascii="Trebuchet MS" w:hAnsi="Trebuchet MS" w:cs="Arial"/>
          <w:color w:val="5F5F5F"/>
          <w:sz w:val="20"/>
          <w:szCs w:val="20"/>
        </w:rPr>
      </w:pPr>
      <w:r>
        <w:rPr>
          <w:rFonts w:ascii="Trebuchet MS" w:hAnsi="Trebuchet MS" w:cs="Arial"/>
          <w:color w:val="5F5F5F"/>
          <w:sz w:val="20"/>
          <w:szCs w:val="20"/>
        </w:rPr>
        <w:t xml:space="preserve">Al 31 </w:t>
      </w:r>
      <w:r w:rsidRPr="00F34C96">
        <w:rPr>
          <w:rFonts w:ascii="Trebuchet MS" w:hAnsi="Trebuchet MS" w:cs="Arial"/>
          <w:color w:val="5F5F5F"/>
          <w:sz w:val="20"/>
          <w:szCs w:val="20"/>
        </w:rPr>
        <w:t>dicembre 2019</w:t>
      </w:r>
      <w:r w:rsidRPr="00FA33BD">
        <w:rPr>
          <w:rFonts w:ascii="Trebuchet MS" w:hAnsi="Trebuchet MS" w:cs="Arial"/>
          <w:color w:val="5F5F5F"/>
          <w:sz w:val="20"/>
          <w:szCs w:val="20"/>
        </w:rPr>
        <w:t xml:space="preserve"> sono </w:t>
      </w:r>
      <w:r w:rsidR="00A21FED">
        <w:rPr>
          <w:rFonts w:ascii="Trebuchet MS" w:hAnsi="Trebuchet MS" w:cs="Arial"/>
          <w:color w:val="5F5F5F"/>
          <w:sz w:val="20"/>
          <w:szCs w:val="20"/>
        </w:rPr>
        <w:t>245.400</w:t>
      </w:r>
      <w:r>
        <w:rPr>
          <w:rFonts w:ascii="Trebuchet MS" w:hAnsi="Trebuchet MS" w:cs="Arial"/>
          <w:color w:val="5F5F5F"/>
          <w:sz w:val="20"/>
          <w:szCs w:val="20"/>
        </w:rPr>
        <w:t xml:space="preserve"> </w:t>
      </w:r>
      <w:r w:rsidRPr="00FA33BD">
        <w:rPr>
          <w:rFonts w:ascii="Trebuchet MS" w:hAnsi="Trebuchet MS" w:cs="Arial"/>
          <w:color w:val="5F5F5F"/>
          <w:sz w:val="20"/>
          <w:szCs w:val="20"/>
        </w:rPr>
        <w:t>le persone che effettuano spostamenti quotidiani per recarsi al luo</w:t>
      </w:r>
      <w:r>
        <w:rPr>
          <w:rFonts w:ascii="Trebuchet MS" w:hAnsi="Trebuchet MS" w:cs="Arial"/>
          <w:color w:val="5F5F5F"/>
          <w:sz w:val="20"/>
          <w:szCs w:val="20"/>
        </w:rPr>
        <w:t xml:space="preserve">go di studio o di lavoro, ossia il </w:t>
      </w:r>
      <w:r w:rsidR="00A21FED">
        <w:rPr>
          <w:rFonts w:ascii="Trebuchet MS" w:hAnsi="Trebuchet MS" w:cs="Arial"/>
          <w:color w:val="5F5F5F"/>
          <w:sz w:val="20"/>
          <w:szCs w:val="20"/>
        </w:rPr>
        <w:t>44</w:t>
      </w:r>
      <w:r>
        <w:rPr>
          <w:rFonts w:ascii="Trebuchet MS" w:hAnsi="Trebuchet MS" w:cs="Arial"/>
          <w:color w:val="5F5F5F"/>
          <w:sz w:val="20"/>
          <w:szCs w:val="20"/>
        </w:rPr>
        <w:t>,</w:t>
      </w:r>
      <w:r w:rsidR="00A21FED">
        <w:rPr>
          <w:rFonts w:ascii="Trebuchet MS" w:hAnsi="Trebuchet MS" w:cs="Arial"/>
          <w:color w:val="5F5F5F"/>
          <w:sz w:val="20"/>
          <w:szCs w:val="20"/>
        </w:rPr>
        <w:t>4</w:t>
      </w:r>
      <w:r>
        <w:rPr>
          <w:rFonts w:ascii="Trebuchet MS" w:hAnsi="Trebuchet MS" w:cs="Arial"/>
          <w:color w:val="5F5F5F"/>
          <w:sz w:val="20"/>
          <w:szCs w:val="20"/>
        </w:rPr>
        <w:t>% della popolazione residente</w:t>
      </w:r>
      <w:r w:rsidR="00A21FED">
        <w:rPr>
          <w:rFonts w:ascii="Trebuchet MS" w:hAnsi="Trebuchet MS" w:cs="Arial"/>
          <w:color w:val="5F5F5F"/>
          <w:sz w:val="20"/>
          <w:szCs w:val="20"/>
        </w:rPr>
        <w:t>, valore di oltre 6 punti percentuali più basso rispetto alla media nazionale</w:t>
      </w:r>
      <w:r>
        <w:rPr>
          <w:rFonts w:ascii="Trebuchet MS" w:hAnsi="Trebuchet MS" w:cs="Arial"/>
          <w:color w:val="5F5F5F"/>
          <w:sz w:val="20"/>
          <w:szCs w:val="20"/>
        </w:rPr>
        <w:t xml:space="preserve">. </w:t>
      </w:r>
      <w:r w:rsidR="00A21FED">
        <w:rPr>
          <w:rFonts w:ascii="Trebuchet MS" w:hAnsi="Trebuchet MS" w:cs="Arial"/>
          <w:color w:val="5F5F5F"/>
          <w:sz w:val="20"/>
          <w:szCs w:val="20"/>
        </w:rPr>
        <w:t>Non si registrano differenze significative a livello provinciale</w:t>
      </w:r>
      <w:r w:rsidR="007E75F4">
        <w:rPr>
          <w:rFonts w:ascii="Trebuchet MS" w:hAnsi="Trebuchet MS" w:cs="Arial"/>
          <w:color w:val="5F5F5F"/>
          <w:sz w:val="20"/>
          <w:szCs w:val="20"/>
        </w:rPr>
        <w:t xml:space="preserve"> (Figura 6)</w:t>
      </w:r>
      <w:r w:rsidR="00A21FED">
        <w:rPr>
          <w:rFonts w:ascii="Trebuchet MS" w:hAnsi="Trebuchet MS" w:cs="Arial"/>
          <w:color w:val="5F5F5F"/>
          <w:sz w:val="20"/>
          <w:szCs w:val="20"/>
        </w:rPr>
        <w:t>.</w:t>
      </w:r>
      <w:r w:rsidRPr="00FA33BD">
        <w:rPr>
          <w:rFonts w:ascii="Trebuchet MS" w:hAnsi="Trebuchet MS" w:cs="Arial"/>
          <w:color w:val="5F5F5F"/>
          <w:sz w:val="20"/>
          <w:szCs w:val="20"/>
        </w:rPr>
        <w:t xml:space="preserve"> </w:t>
      </w:r>
    </w:p>
    <w:p w14:paraId="0581C87E" w14:textId="77777777" w:rsidR="005B0778" w:rsidRPr="00FA33BD" w:rsidRDefault="005B0778" w:rsidP="00CC4F56">
      <w:pPr>
        <w:spacing w:after="120"/>
        <w:jc w:val="both"/>
        <w:rPr>
          <w:rFonts w:ascii="Trebuchet MS" w:hAnsi="Trebuchet MS" w:cs="Arial"/>
          <w:color w:val="5F5F5F"/>
          <w:sz w:val="20"/>
          <w:szCs w:val="20"/>
        </w:rPr>
      </w:pPr>
    </w:p>
    <w:p w14:paraId="2C43AC81" w14:textId="21EF1DC8" w:rsidR="004C1C69" w:rsidRDefault="004C1C69" w:rsidP="00156220">
      <w:pPr>
        <w:keepNext/>
        <w:spacing w:before="240" w:after="120"/>
        <w:jc w:val="both"/>
        <w:rPr>
          <w:rFonts w:ascii="Arial Narrow" w:hAnsi="Arial Narrow"/>
          <w:color w:val="404040" w:themeColor="text1" w:themeTint="BF"/>
          <w:sz w:val="22"/>
          <w:szCs w:val="22"/>
        </w:rPr>
      </w:pPr>
      <w:r>
        <w:rPr>
          <w:rFonts w:ascii="Arial Narrow" w:hAnsi="Arial Narrow"/>
          <w:b/>
          <w:bCs/>
          <w:color w:val="404040" w:themeColor="text1" w:themeTint="BF"/>
          <w:sz w:val="22"/>
          <w:szCs w:val="22"/>
        </w:rPr>
        <w:t xml:space="preserve">FIGURA </w:t>
      </w:r>
      <w:r w:rsidR="000E7CDD">
        <w:rPr>
          <w:rFonts w:ascii="Arial Narrow" w:hAnsi="Arial Narrow"/>
          <w:b/>
          <w:bCs/>
          <w:color w:val="404040" w:themeColor="text1" w:themeTint="BF"/>
          <w:sz w:val="22"/>
          <w:szCs w:val="22"/>
        </w:rPr>
        <w:t>6</w:t>
      </w:r>
      <w:r w:rsidRPr="00B162C7">
        <w:rPr>
          <w:rFonts w:ascii="Arial Narrow" w:hAnsi="Arial Narrow"/>
          <w:b/>
          <w:bCs/>
          <w:color w:val="404040" w:themeColor="text1" w:themeTint="BF"/>
          <w:sz w:val="22"/>
          <w:szCs w:val="22"/>
        </w:rPr>
        <w:t>.</w:t>
      </w:r>
      <w:r w:rsidRPr="00B162C7">
        <w:rPr>
          <w:rFonts w:ascii="Arial" w:hAnsi="Arial" w:cs="Arial"/>
          <w:b/>
          <w:bCs/>
          <w:color w:val="404040" w:themeColor="text1" w:themeTint="BF"/>
          <w:sz w:val="20"/>
          <w:szCs w:val="20"/>
        </w:rPr>
        <w:t xml:space="preserve"> </w:t>
      </w:r>
      <w:r w:rsidRPr="00B162C7">
        <w:rPr>
          <w:rFonts w:ascii="Arial Narrow" w:hAnsi="Arial Narrow"/>
          <w:color w:val="404040" w:themeColor="text1" w:themeTint="BF"/>
          <w:sz w:val="22"/>
          <w:szCs w:val="22"/>
        </w:rPr>
        <w:t xml:space="preserve">POPOLAZIONE RESIDENTE </w:t>
      </w:r>
      <w:r w:rsidRPr="00FA33BD">
        <w:rPr>
          <w:rFonts w:ascii="Arial Narrow" w:hAnsi="Arial Narrow"/>
          <w:color w:val="404040" w:themeColor="text1" w:themeTint="BF"/>
          <w:sz w:val="22"/>
          <w:szCs w:val="22"/>
        </w:rPr>
        <w:t>CHE SI SPOSTA GIO</w:t>
      </w:r>
      <w:r>
        <w:rPr>
          <w:rFonts w:ascii="Arial Narrow" w:hAnsi="Arial Narrow"/>
          <w:color w:val="404040" w:themeColor="text1" w:themeTint="BF"/>
          <w:sz w:val="22"/>
          <w:szCs w:val="22"/>
        </w:rPr>
        <w:t>RNALMENTE PER PROVINCIA. Anno 2019</w:t>
      </w:r>
      <w:r w:rsidRPr="00FA33BD">
        <w:rPr>
          <w:rFonts w:ascii="Arial Narrow" w:hAnsi="Arial Narrow"/>
          <w:color w:val="404040" w:themeColor="text1" w:themeTint="BF"/>
          <w:sz w:val="22"/>
          <w:szCs w:val="22"/>
        </w:rPr>
        <w:t>, incidenza percentuale sul totale della popolazione residente.</w:t>
      </w:r>
    </w:p>
    <w:p w14:paraId="3B3DAAC7" w14:textId="0E180A59" w:rsidR="004C1C69" w:rsidRDefault="005444AA" w:rsidP="00C77D93">
      <w:pPr>
        <w:spacing w:after="240"/>
        <w:jc w:val="both"/>
        <w:rPr>
          <w:rFonts w:ascii="Arial Narrow" w:hAnsi="Arial Narrow"/>
          <w:color w:val="404040" w:themeColor="text1" w:themeTint="BF"/>
          <w:sz w:val="22"/>
          <w:szCs w:val="22"/>
        </w:rPr>
      </w:pPr>
      <w:r>
        <w:rPr>
          <w:noProof/>
        </w:rPr>
        <w:drawing>
          <wp:inline distT="0" distB="0" distL="0" distR="0" wp14:anchorId="4B51BCD1" wp14:editId="358D4D7C">
            <wp:extent cx="6084000" cy="1976438"/>
            <wp:effectExtent l="0" t="0" r="12065" b="5080"/>
            <wp:docPr id="17" name="Grafico 17">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0D687C" w14:textId="77777777" w:rsidR="005B0778" w:rsidRDefault="005B0778" w:rsidP="00B94469">
      <w:pPr>
        <w:spacing w:after="120"/>
        <w:jc w:val="both"/>
        <w:rPr>
          <w:rFonts w:ascii="Trebuchet MS" w:hAnsi="Trebuchet MS" w:cs="Arial"/>
          <w:color w:val="5F5F5F"/>
          <w:sz w:val="20"/>
          <w:szCs w:val="20"/>
        </w:rPr>
      </w:pPr>
    </w:p>
    <w:p w14:paraId="47CD6CEF" w14:textId="736BE53D" w:rsidR="004C1C69" w:rsidRDefault="00E6534A" w:rsidP="00B94469">
      <w:pPr>
        <w:spacing w:after="120"/>
        <w:jc w:val="both"/>
        <w:rPr>
          <w:rFonts w:ascii="Trebuchet MS" w:hAnsi="Trebuchet MS" w:cs="Arial"/>
          <w:color w:val="5F5F5F"/>
          <w:sz w:val="20"/>
          <w:szCs w:val="20"/>
        </w:rPr>
      </w:pPr>
      <w:r>
        <w:rPr>
          <w:rFonts w:ascii="Trebuchet MS" w:hAnsi="Trebuchet MS" w:cs="Arial"/>
          <w:color w:val="5F5F5F"/>
          <w:sz w:val="20"/>
          <w:szCs w:val="20"/>
        </w:rPr>
        <w:t xml:space="preserve">Nel </w:t>
      </w:r>
      <w:r w:rsidR="00A21FED">
        <w:rPr>
          <w:rFonts w:ascii="Trebuchet MS" w:hAnsi="Trebuchet MS" w:cs="Arial"/>
          <w:color w:val="5F5F5F"/>
          <w:sz w:val="20"/>
          <w:szCs w:val="20"/>
        </w:rPr>
        <w:t>69,9</w:t>
      </w:r>
      <w:r w:rsidR="004C1C69" w:rsidRPr="00F62144">
        <w:rPr>
          <w:rFonts w:ascii="Trebuchet MS" w:hAnsi="Trebuchet MS" w:cs="Arial"/>
          <w:color w:val="5F5F5F"/>
          <w:sz w:val="20"/>
          <w:szCs w:val="20"/>
        </w:rPr>
        <w:t xml:space="preserve">% </w:t>
      </w:r>
      <w:r>
        <w:rPr>
          <w:rFonts w:ascii="Trebuchet MS" w:hAnsi="Trebuchet MS" w:cs="Arial"/>
          <w:color w:val="5F5F5F"/>
          <w:sz w:val="20"/>
          <w:szCs w:val="20"/>
        </w:rPr>
        <w:t xml:space="preserve">dei casi lo spostamento avviene </w:t>
      </w:r>
      <w:r w:rsidR="004C1C69" w:rsidRPr="00546CBB">
        <w:rPr>
          <w:rFonts w:ascii="Trebuchet MS" w:hAnsi="Trebuchet MS" w:cs="Arial"/>
          <w:color w:val="5F5F5F"/>
          <w:sz w:val="20"/>
          <w:szCs w:val="20"/>
        </w:rPr>
        <w:t xml:space="preserve">all’interno dello stesso comune di dimora abituale </w:t>
      </w:r>
      <w:r w:rsidR="004C1C69" w:rsidRPr="00F62144">
        <w:rPr>
          <w:rFonts w:ascii="Trebuchet MS" w:hAnsi="Trebuchet MS" w:cs="Arial"/>
          <w:color w:val="5F5F5F"/>
          <w:sz w:val="20"/>
          <w:szCs w:val="20"/>
        </w:rPr>
        <w:t>(</w:t>
      </w:r>
      <w:r w:rsidR="00A21FED">
        <w:rPr>
          <w:rFonts w:ascii="Trebuchet MS" w:hAnsi="Trebuchet MS" w:cs="Arial"/>
          <w:color w:val="5F5F5F"/>
          <w:sz w:val="20"/>
          <w:szCs w:val="20"/>
        </w:rPr>
        <w:t>171.412</w:t>
      </w:r>
      <w:r>
        <w:rPr>
          <w:rFonts w:ascii="Trebuchet MS" w:hAnsi="Trebuchet MS" w:cs="Arial"/>
          <w:color w:val="5F5F5F"/>
          <w:sz w:val="20"/>
          <w:szCs w:val="20"/>
        </w:rPr>
        <w:t xml:space="preserve"> </w:t>
      </w:r>
      <w:r w:rsidR="008C0254">
        <w:rPr>
          <w:rFonts w:ascii="Trebuchet MS" w:hAnsi="Trebuchet MS" w:cs="Arial"/>
          <w:color w:val="5F5F5F"/>
          <w:sz w:val="20"/>
          <w:szCs w:val="20"/>
        </w:rPr>
        <w:t>residenti</w:t>
      </w:r>
      <w:r w:rsidR="004C1C69">
        <w:rPr>
          <w:rFonts w:ascii="Trebuchet MS" w:hAnsi="Trebuchet MS" w:cs="Arial"/>
          <w:color w:val="5F5F5F"/>
          <w:sz w:val="20"/>
          <w:szCs w:val="20"/>
        </w:rPr>
        <w:t>)</w:t>
      </w:r>
      <w:r w:rsidR="004C1C69" w:rsidRPr="00F62144">
        <w:rPr>
          <w:rFonts w:ascii="Trebuchet MS" w:hAnsi="Trebuchet MS" w:cs="Arial"/>
          <w:color w:val="5F5F5F"/>
          <w:sz w:val="20"/>
          <w:szCs w:val="20"/>
        </w:rPr>
        <w:t xml:space="preserve">, </w:t>
      </w:r>
      <w:r>
        <w:rPr>
          <w:rFonts w:ascii="Trebuchet MS" w:hAnsi="Trebuchet MS" w:cs="Arial"/>
          <w:color w:val="5F5F5F"/>
          <w:sz w:val="20"/>
          <w:szCs w:val="20"/>
        </w:rPr>
        <w:t>nel</w:t>
      </w:r>
      <w:r w:rsidRPr="00F62144">
        <w:rPr>
          <w:rFonts w:ascii="Trebuchet MS" w:hAnsi="Trebuchet MS" w:cs="Arial"/>
          <w:color w:val="5F5F5F"/>
          <w:sz w:val="20"/>
          <w:szCs w:val="20"/>
        </w:rPr>
        <w:t xml:space="preserve"> </w:t>
      </w:r>
      <w:r w:rsidR="004C1C69" w:rsidRPr="00F62144">
        <w:rPr>
          <w:rFonts w:ascii="Trebuchet MS" w:hAnsi="Trebuchet MS" w:cs="Arial"/>
          <w:color w:val="5F5F5F"/>
          <w:sz w:val="20"/>
          <w:szCs w:val="20"/>
        </w:rPr>
        <w:t xml:space="preserve">restante </w:t>
      </w:r>
      <w:r w:rsidR="00A21FED">
        <w:rPr>
          <w:rFonts w:ascii="Trebuchet MS" w:hAnsi="Trebuchet MS" w:cs="Arial"/>
          <w:color w:val="5F5F5F"/>
          <w:sz w:val="20"/>
          <w:szCs w:val="20"/>
        </w:rPr>
        <w:t>30</w:t>
      </w:r>
      <w:r w:rsidR="004C1C69">
        <w:rPr>
          <w:rFonts w:ascii="Trebuchet MS" w:hAnsi="Trebuchet MS" w:cs="Arial"/>
          <w:color w:val="5F5F5F"/>
          <w:sz w:val="20"/>
          <w:szCs w:val="20"/>
        </w:rPr>
        <w:t>,</w:t>
      </w:r>
      <w:r w:rsidR="00A21FED">
        <w:rPr>
          <w:rFonts w:ascii="Trebuchet MS" w:hAnsi="Trebuchet MS" w:cs="Arial"/>
          <w:color w:val="5F5F5F"/>
          <w:sz w:val="20"/>
          <w:szCs w:val="20"/>
        </w:rPr>
        <w:t>1</w:t>
      </w:r>
      <w:r w:rsidR="004C1C69" w:rsidRPr="00F62144">
        <w:rPr>
          <w:rFonts w:ascii="Trebuchet MS" w:hAnsi="Trebuchet MS" w:cs="Arial"/>
          <w:color w:val="5F5F5F"/>
          <w:sz w:val="20"/>
          <w:szCs w:val="20"/>
        </w:rPr>
        <w:t>% (</w:t>
      </w:r>
      <w:r w:rsidR="00C73ECE">
        <w:rPr>
          <w:rFonts w:ascii="Trebuchet MS" w:hAnsi="Trebuchet MS" w:cs="Arial"/>
          <w:color w:val="5F5F5F"/>
          <w:sz w:val="20"/>
          <w:szCs w:val="20"/>
        </w:rPr>
        <w:t>73.988</w:t>
      </w:r>
      <w:r w:rsidR="008C0254">
        <w:rPr>
          <w:rFonts w:ascii="Trebuchet MS" w:hAnsi="Trebuchet MS" w:cs="Arial"/>
          <w:color w:val="5F5F5F"/>
          <w:sz w:val="20"/>
          <w:szCs w:val="20"/>
        </w:rPr>
        <w:t xml:space="preserve"> residenti</w:t>
      </w:r>
      <w:r w:rsidR="004C1C69" w:rsidRPr="00F62144">
        <w:rPr>
          <w:rFonts w:ascii="Trebuchet MS" w:hAnsi="Trebuchet MS" w:cs="Arial"/>
          <w:color w:val="5F5F5F"/>
          <w:sz w:val="20"/>
          <w:szCs w:val="20"/>
        </w:rPr>
        <w:t xml:space="preserve">) </w:t>
      </w:r>
      <w:r>
        <w:rPr>
          <w:rFonts w:ascii="Trebuchet MS" w:hAnsi="Trebuchet MS" w:cs="Arial"/>
          <w:color w:val="5F5F5F"/>
          <w:sz w:val="20"/>
          <w:szCs w:val="20"/>
        </w:rPr>
        <w:t>ci si reca</w:t>
      </w:r>
      <w:r w:rsidR="004C1C69">
        <w:rPr>
          <w:rFonts w:ascii="Trebuchet MS" w:hAnsi="Trebuchet MS" w:cs="Arial"/>
          <w:color w:val="5F5F5F"/>
          <w:sz w:val="20"/>
          <w:szCs w:val="20"/>
        </w:rPr>
        <w:t xml:space="preserve"> in altri comuni</w:t>
      </w:r>
      <w:r w:rsidR="004C1C69" w:rsidRPr="00F62144">
        <w:rPr>
          <w:rFonts w:ascii="Trebuchet MS" w:hAnsi="Trebuchet MS" w:cs="Arial"/>
          <w:color w:val="5F5F5F"/>
          <w:sz w:val="20"/>
          <w:szCs w:val="20"/>
        </w:rPr>
        <w:t xml:space="preserve">. La </w:t>
      </w:r>
      <w:r w:rsidR="004C1C69">
        <w:rPr>
          <w:rFonts w:ascii="Trebuchet MS" w:hAnsi="Trebuchet MS" w:cs="Arial"/>
          <w:color w:val="5F5F5F"/>
          <w:sz w:val="20"/>
          <w:szCs w:val="20"/>
        </w:rPr>
        <w:t>g</w:t>
      </w:r>
      <w:r w:rsidR="004C1C69" w:rsidRPr="00F62144">
        <w:rPr>
          <w:rFonts w:ascii="Trebuchet MS" w:hAnsi="Trebuchet MS" w:cs="Arial"/>
          <w:color w:val="5F5F5F"/>
          <w:sz w:val="20"/>
          <w:szCs w:val="20"/>
        </w:rPr>
        <w:t xml:space="preserve">eografia degli spostamenti è piuttosto differenziata in conseguenza delle diverse </w:t>
      </w:r>
      <w:r w:rsidR="004C1C69">
        <w:rPr>
          <w:rFonts w:ascii="Trebuchet MS" w:hAnsi="Trebuchet MS" w:cs="Arial"/>
          <w:color w:val="5F5F5F"/>
          <w:sz w:val="20"/>
          <w:szCs w:val="20"/>
        </w:rPr>
        <w:t>caratteristiche dei territori</w:t>
      </w:r>
      <w:r w:rsidR="004C1C69" w:rsidRPr="00E43B09">
        <w:rPr>
          <w:rFonts w:ascii="Trebuchet MS" w:hAnsi="Trebuchet MS" w:cs="Arial"/>
          <w:color w:val="5F5F5F"/>
          <w:sz w:val="20"/>
          <w:szCs w:val="20"/>
        </w:rPr>
        <w:t xml:space="preserve"> </w:t>
      </w:r>
      <w:r w:rsidR="004C1C69">
        <w:rPr>
          <w:rFonts w:ascii="Trebuchet MS" w:hAnsi="Trebuchet MS" w:cs="Arial"/>
          <w:color w:val="5F5F5F"/>
          <w:sz w:val="20"/>
          <w:szCs w:val="20"/>
        </w:rPr>
        <w:t>provinciali</w:t>
      </w:r>
      <w:r w:rsidR="004C1C69" w:rsidRPr="00F62144">
        <w:rPr>
          <w:rFonts w:ascii="Trebuchet MS" w:hAnsi="Trebuchet MS" w:cs="Arial"/>
          <w:color w:val="5F5F5F"/>
          <w:sz w:val="20"/>
          <w:szCs w:val="20"/>
        </w:rPr>
        <w:t xml:space="preserve">. </w:t>
      </w:r>
      <w:r w:rsidR="004C1C69" w:rsidRPr="00E43B09">
        <w:rPr>
          <w:rFonts w:ascii="Trebuchet MS" w:hAnsi="Trebuchet MS" w:cs="Arial"/>
          <w:color w:val="5F5F5F"/>
          <w:sz w:val="20"/>
          <w:szCs w:val="20"/>
        </w:rPr>
        <w:t>Gli spostamenti intra</w:t>
      </w:r>
      <w:r w:rsidR="00E72D9C">
        <w:rPr>
          <w:rFonts w:ascii="Trebuchet MS" w:hAnsi="Trebuchet MS" w:cs="Arial"/>
          <w:color w:val="5F5F5F"/>
          <w:sz w:val="20"/>
          <w:szCs w:val="20"/>
        </w:rPr>
        <w:t>-</w:t>
      </w:r>
      <w:r w:rsidR="004C1C69" w:rsidRPr="00E43B09">
        <w:rPr>
          <w:rFonts w:ascii="Trebuchet MS" w:hAnsi="Trebuchet MS" w:cs="Arial"/>
          <w:color w:val="5F5F5F"/>
          <w:sz w:val="20"/>
          <w:szCs w:val="20"/>
        </w:rPr>
        <w:t xml:space="preserve">comunali </w:t>
      </w:r>
      <w:r w:rsidR="00C73ECE">
        <w:rPr>
          <w:rFonts w:ascii="Trebuchet MS" w:hAnsi="Trebuchet MS" w:cs="Arial"/>
          <w:color w:val="5F5F5F"/>
          <w:sz w:val="20"/>
          <w:szCs w:val="20"/>
        </w:rPr>
        <w:t xml:space="preserve">sono più alti </w:t>
      </w:r>
      <w:r w:rsidR="00E8749F">
        <w:rPr>
          <w:rFonts w:ascii="Trebuchet MS" w:hAnsi="Trebuchet MS" w:cs="Arial"/>
          <w:color w:val="5F5F5F"/>
          <w:sz w:val="20"/>
          <w:szCs w:val="20"/>
        </w:rPr>
        <w:t xml:space="preserve">in </w:t>
      </w:r>
      <w:r w:rsidR="00C73ECE">
        <w:rPr>
          <w:rFonts w:ascii="Trebuchet MS" w:hAnsi="Trebuchet MS" w:cs="Arial"/>
          <w:color w:val="5F5F5F"/>
          <w:sz w:val="20"/>
          <w:szCs w:val="20"/>
        </w:rPr>
        <w:t xml:space="preserve">provincia di Matera rispetto </w:t>
      </w:r>
      <w:r w:rsidR="00E8749F">
        <w:rPr>
          <w:rFonts w:ascii="Trebuchet MS" w:hAnsi="Trebuchet MS" w:cs="Arial"/>
          <w:color w:val="5F5F5F"/>
          <w:sz w:val="20"/>
          <w:szCs w:val="20"/>
        </w:rPr>
        <w:t>a</w:t>
      </w:r>
      <w:r w:rsidR="00C73ECE">
        <w:rPr>
          <w:rFonts w:ascii="Trebuchet MS" w:hAnsi="Trebuchet MS" w:cs="Arial"/>
          <w:color w:val="5F5F5F"/>
          <w:sz w:val="20"/>
          <w:szCs w:val="20"/>
        </w:rPr>
        <w:t xml:space="preserve"> Potenza (76,6% contro il 66,2%). Gli</w:t>
      </w:r>
      <w:r w:rsidR="004C1C69" w:rsidRPr="00E43B09">
        <w:rPr>
          <w:rFonts w:ascii="Trebuchet MS" w:hAnsi="Trebuchet MS" w:cs="Arial"/>
          <w:color w:val="5F5F5F"/>
          <w:sz w:val="20"/>
          <w:szCs w:val="20"/>
        </w:rPr>
        <w:t xml:space="preserve"> spostamenti fuori dal comune</w:t>
      </w:r>
      <w:r w:rsidR="00C73ECE">
        <w:rPr>
          <w:rFonts w:ascii="Trebuchet MS" w:hAnsi="Trebuchet MS" w:cs="Arial"/>
          <w:color w:val="5F5F5F"/>
          <w:sz w:val="20"/>
          <w:szCs w:val="20"/>
        </w:rPr>
        <w:t xml:space="preserve"> sono, di conseguenza, </w:t>
      </w:r>
      <w:r w:rsidR="00E8749F">
        <w:rPr>
          <w:rFonts w:ascii="Trebuchet MS" w:hAnsi="Trebuchet MS" w:cs="Arial"/>
          <w:color w:val="5F5F5F"/>
          <w:sz w:val="20"/>
          <w:szCs w:val="20"/>
        </w:rPr>
        <w:t xml:space="preserve">più </w:t>
      </w:r>
      <w:r w:rsidR="00C73ECE">
        <w:rPr>
          <w:rFonts w:ascii="Trebuchet MS" w:hAnsi="Trebuchet MS" w:cs="Arial"/>
          <w:color w:val="5F5F5F"/>
          <w:sz w:val="20"/>
          <w:szCs w:val="20"/>
        </w:rPr>
        <w:t xml:space="preserve">frequenti </w:t>
      </w:r>
      <w:r w:rsidR="00E8749F">
        <w:rPr>
          <w:rFonts w:ascii="Trebuchet MS" w:hAnsi="Trebuchet MS" w:cs="Arial"/>
          <w:color w:val="5F5F5F"/>
          <w:sz w:val="20"/>
          <w:szCs w:val="20"/>
        </w:rPr>
        <w:t xml:space="preserve">in </w:t>
      </w:r>
      <w:r w:rsidR="00C73ECE">
        <w:rPr>
          <w:rFonts w:ascii="Trebuchet MS" w:hAnsi="Trebuchet MS" w:cs="Arial"/>
          <w:color w:val="5F5F5F"/>
          <w:sz w:val="20"/>
          <w:szCs w:val="20"/>
        </w:rPr>
        <w:t xml:space="preserve">provincia di Potenza </w:t>
      </w:r>
      <w:r w:rsidR="00A97D23">
        <w:rPr>
          <w:rFonts w:ascii="Trebuchet MS" w:hAnsi="Trebuchet MS" w:cs="Arial"/>
          <w:color w:val="5F5F5F"/>
          <w:sz w:val="20"/>
          <w:szCs w:val="20"/>
        </w:rPr>
        <w:t>(Prospetto 11)</w:t>
      </w:r>
      <w:r w:rsidR="004C1C69" w:rsidRPr="00E43B09">
        <w:rPr>
          <w:rFonts w:ascii="Trebuchet MS" w:hAnsi="Trebuchet MS" w:cs="Arial"/>
          <w:color w:val="5F5F5F"/>
          <w:sz w:val="20"/>
          <w:szCs w:val="20"/>
        </w:rPr>
        <w:t>.</w:t>
      </w:r>
    </w:p>
    <w:p w14:paraId="2B9A287D" w14:textId="77777777" w:rsidR="005B0778" w:rsidRDefault="005B0778" w:rsidP="00B94469">
      <w:pPr>
        <w:spacing w:after="120"/>
        <w:jc w:val="both"/>
        <w:rPr>
          <w:rFonts w:ascii="Trebuchet MS" w:hAnsi="Trebuchet MS" w:cs="Arial"/>
          <w:color w:val="5F5F5F"/>
          <w:sz w:val="20"/>
          <w:szCs w:val="20"/>
        </w:rPr>
      </w:pPr>
    </w:p>
    <w:p w14:paraId="2ED8E218" w14:textId="32C08433" w:rsidR="004C1C69" w:rsidRDefault="004C1C69" w:rsidP="00047761">
      <w:pPr>
        <w:spacing w:after="120"/>
        <w:jc w:val="both"/>
        <w:rPr>
          <w:rFonts w:ascii="Arial Narrow" w:hAnsi="Arial Narrow" w:cs="Arial Narrow"/>
          <w:color w:val="595959" w:themeColor="text1" w:themeTint="A6"/>
          <w:sz w:val="22"/>
          <w:szCs w:val="22"/>
        </w:rPr>
      </w:pPr>
      <w:r>
        <w:rPr>
          <w:rFonts w:ascii="Arial Narrow" w:hAnsi="Arial Narrow" w:cs="Arial Narrow"/>
          <w:b/>
          <w:bCs/>
          <w:color w:val="595959" w:themeColor="text1" w:themeTint="A6"/>
          <w:sz w:val="22"/>
          <w:szCs w:val="22"/>
        </w:rPr>
        <w:t xml:space="preserve">PROSPETTO </w:t>
      </w:r>
      <w:r w:rsidR="00D74732">
        <w:rPr>
          <w:rFonts w:ascii="Arial Narrow" w:hAnsi="Arial Narrow" w:cs="Arial Narrow"/>
          <w:b/>
          <w:bCs/>
          <w:color w:val="595959" w:themeColor="text1" w:themeTint="A6"/>
          <w:sz w:val="22"/>
          <w:szCs w:val="22"/>
        </w:rPr>
        <w:t>11</w:t>
      </w:r>
      <w:r w:rsidRPr="00710C34">
        <w:rPr>
          <w:rFonts w:ascii="Arial Narrow" w:hAnsi="Arial Narrow" w:cs="Arial Narrow"/>
          <w:b/>
          <w:bCs/>
          <w:color w:val="595959" w:themeColor="text1" w:themeTint="A6"/>
          <w:sz w:val="22"/>
          <w:szCs w:val="22"/>
        </w:rPr>
        <w:t xml:space="preserve">. </w:t>
      </w:r>
      <w:r w:rsidRPr="00F62144">
        <w:rPr>
          <w:rFonts w:ascii="Arial Narrow" w:hAnsi="Arial Narrow" w:cs="Arial Narrow"/>
          <w:color w:val="595959" w:themeColor="text1" w:themeTint="A6"/>
          <w:sz w:val="22"/>
          <w:szCs w:val="22"/>
        </w:rPr>
        <w:t xml:space="preserve">POPOLAZIONE RESIDENTE CHE SI SPOSTA GIORNALMENTE PER </w:t>
      </w:r>
      <w:r>
        <w:rPr>
          <w:rFonts w:ascii="Arial Narrow" w:hAnsi="Arial Narrow" w:cs="Arial Narrow"/>
          <w:color w:val="595959" w:themeColor="text1" w:themeTint="A6"/>
          <w:sz w:val="22"/>
          <w:szCs w:val="22"/>
        </w:rPr>
        <w:t>LUOGO DI DESTINAZIONE.</w:t>
      </w:r>
      <w:r w:rsidRPr="00546CBB">
        <w:t xml:space="preserve"> </w:t>
      </w:r>
      <w:r w:rsidR="007048B1">
        <w:rPr>
          <w:rFonts w:ascii="Arial Narrow" w:hAnsi="Arial Narrow" w:cs="Arial Narrow"/>
          <w:color w:val="595959" w:themeColor="text1" w:themeTint="A6"/>
          <w:sz w:val="22"/>
          <w:szCs w:val="22"/>
        </w:rPr>
        <w:t>Censimento</w:t>
      </w:r>
      <w:r w:rsidR="007048B1" w:rsidRPr="00546CBB">
        <w:rPr>
          <w:rFonts w:ascii="Arial Narrow" w:hAnsi="Arial Narrow" w:cs="Arial Narrow"/>
          <w:color w:val="595959" w:themeColor="text1" w:themeTint="A6"/>
          <w:sz w:val="22"/>
          <w:szCs w:val="22"/>
        </w:rPr>
        <w:t xml:space="preserve"> </w:t>
      </w:r>
      <w:r w:rsidRPr="00546CBB">
        <w:rPr>
          <w:rFonts w:ascii="Arial Narrow" w:hAnsi="Arial Narrow" w:cs="Arial Narrow"/>
          <w:color w:val="595959" w:themeColor="text1" w:themeTint="A6"/>
          <w:sz w:val="22"/>
          <w:szCs w:val="22"/>
        </w:rPr>
        <w:t>20</w:t>
      </w:r>
      <w:r w:rsidR="002B1B23">
        <w:rPr>
          <w:rFonts w:ascii="Arial Narrow" w:hAnsi="Arial Narrow" w:cs="Arial Narrow"/>
          <w:color w:val="595959" w:themeColor="text1" w:themeTint="A6"/>
          <w:sz w:val="22"/>
          <w:szCs w:val="22"/>
        </w:rPr>
        <w:t>19</w:t>
      </w:r>
      <w:r w:rsidRPr="00546CBB">
        <w:rPr>
          <w:rFonts w:ascii="Arial Narrow" w:hAnsi="Arial Narrow" w:cs="Arial Narrow"/>
          <w:color w:val="595959" w:themeColor="text1" w:themeTint="A6"/>
          <w:sz w:val="22"/>
          <w:szCs w:val="22"/>
        </w:rPr>
        <w:t>, valori assoluti e percentua</w:t>
      </w:r>
      <w:r>
        <w:rPr>
          <w:rFonts w:ascii="Arial Narrow" w:hAnsi="Arial Narrow" w:cs="Arial Narrow"/>
          <w:color w:val="595959" w:themeColor="text1" w:themeTint="A6"/>
          <w:sz w:val="22"/>
          <w:szCs w:val="22"/>
        </w:rPr>
        <w:t>li</w:t>
      </w:r>
    </w:p>
    <w:tbl>
      <w:tblPr>
        <w:tblW w:w="9620" w:type="dxa"/>
        <w:tblCellMar>
          <w:left w:w="70" w:type="dxa"/>
          <w:right w:w="70" w:type="dxa"/>
        </w:tblCellMar>
        <w:tblLook w:val="04A0" w:firstRow="1" w:lastRow="0" w:firstColumn="1" w:lastColumn="0" w:noHBand="0" w:noVBand="1"/>
      </w:tblPr>
      <w:tblGrid>
        <w:gridCol w:w="2180"/>
        <w:gridCol w:w="1240"/>
        <w:gridCol w:w="1240"/>
        <w:gridCol w:w="1240"/>
        <w:gridCol w:w="1240"/>
        <w:gridCol w:w="1240"/>
        <w:gridCol w:w="1240"/>
      </w:tblGrid>
      <w:tr w:rsidR="00AA22A9" w14:paraId="5961EFA9" w14:textId="77777777" w:rsidTr="00383BDB">
        <w:trPr>
          <w:trHeight w:val="330"/>
        </w:trPr>
        <w:tc>
          <w:tcPr>
            <w:tcW w:w="2180" w:type="dxa"/>
            <w:vMerge w:val="restart"/>
            <w:tcBorders>
              <w:top w:val="single" w:sz="4" w:space="0" w:color="auto"/>
              <w:left w:val="nil"/>
              <w:bottom w:val="single" w:sz="4" w:space="0" w:color="000000"/>
              <w:right w:val="nil"/>
            </w:tcBorders>
            <w:shd w:val="clear" w:color="auto" w:fill="auto"/>
            <w:vAlign w:val="center"/>
            <w:hideMark/>
          </w:tcPr>
          <w:p w14:paraId="1F0D0F10" w14:textId="77777777" w:rsidR="00AA22A9" w:rsidRDefault="00AA22A9">
            <w:pPr>
              <w:rPr>
                <w:rFonts w:ascii="Arial Narrow" w:hAnsi="Arial Narrow" w:cs="Calibri"/>
                <w:b/>
                <w:bCs/>
                <w:sz w:val="22"/>
                <w:szCs w:val="22"/>
              </w:rPr>
            </w:pPr>
            <w:r>
              <w:rPr>
                <w:rFonts w:ascii="Arial Narrow" w:hAnsi="Arial Narrow" w:cs="Calibri"/>
                <w:b/>
                <w:bCs/>
                <w:sz w:val="22"/>
                <w:szCs w:val="22"/>
              </w:rPr>
              <w:t>PROVINCE</w:t>
            </w:r>
          </w:p>
        </w:tc>
        <w:tc>
          <w:tcPr>
            <w:tcW w:w="4960" w:type="dxa"/>
            <w:gridSpan w:val="4"/>
            <w:tcBorders>
              <w:top w:val="single" w:sz="4" w:space="0" w:color="262626"/>
              <w:left w:val="nil"/>
              <w:bottom w:val="single" w:sz="4" w:space="0" w:color="262626"/>
              <w:right w:val="nil"/>
            </w:tcBorders>
            <w:shd w:val="clear" w:color="auto" w:fill="D9D9D9" w:themeFill="background1" w:themeFillShade="D9"/>
            <w:noWrap/>
            <w:vAlign w:val="center"/>
            <w:hideMark/>
          </w:tcPr>
          <w:p w14:paraId="5307A47D" w14:textId="77777777" w:rsidR="00AA22A9" w:rsidRDefault="00AA22A9">
            <w:pPr>
              <w:jc w:val="center"/>
              <w:rPr>
                <w:rFonts w:ascii="Arial Narrow" w:hAnsi="Arial Narrow" w:cs="Calibri"/>
                <w:b/>
                <w:bCs/>
                <w:color w:val="000000"/>
                <w:sz w:val="18"/>
                <w:szCs w:val="18"/>
              </w:rPr>
            </w:pPr>
            <w:r>
              <w:rPr>
                <w:rFonts w:ascii="Arial Narrow" w:hAnsi="Arial Narrow" w:cs="Calibri"/>
                <w:b/>
                <w:bCs/>
                <w:color w:val="000000"/>
                <w:sz w:val="18"/>
                <w:szCs w:val="18"/>
              </w:rPr>
              <w:t>LUOGO DI DESTINAZIONE</w:t>
            </w:r>
          </w:p>
        </w:tc>
        <w:tc>
          <w:tcPr>
            <w:tcW w:w="2480" w:type="dxa"/>
            <w:gridSpan w:val="2"/>
            <w:vMerge w:val="restart"/>
            <w:tcBorders>
              <w:top w:val="single" w:sz="4" w:space="0" w:color="262626"/>
              <w:left w:val="nil"/>
              <w:bottom w:val="single" w:sz="4" w:space="0" w:color="262626"/>
              <w:right w:val="nil"/>
            </w:tcBorders>
            <w:shd w:val="clear" w:color="auto" w:fill="auto"/>
            <w:noWrap/>
            <w:vAlign w:val="center"/>
            <w:hideMark/>
          </w:tcPr>
          <w:p w14:paraId="673E3AC8" w14:textId="77777777" w:rsidR="00AA22A9" w:rsidRDefault="00AA22A9">
            <w:pPr>
              <w:jc w:val="center"/>
              <w:rPr>
                <w:rFonts w:ascii="Arial Narrow" w:hAnsi="Arial Narrow" w:cs="Calibri"/>
                <w:b/>
                <w:bCs/>
                <w:color w:val="000000"/>
                <w:sz w:val="18"/>
                <w:szCs w:val="18"/>
              </w:rPr>
            </w:pPr>
            <w:r>
              <w:rPr>
                <w:rFonts w:ascii="Arial Narrow" w:hAnsi="Arial Narrow" w:cs="Calibri"/>
                <w:b/>
                <w:bCs/>
                <w:color w:val="000000"/>
                <w:sz w:val="18"/>
                <w:szCs w:val="18"/>
              </w:rPr>
              <w:t>Totale</w:t>
            </w:r>
          </w:p>
        </w:tc>
      </w:tr>
      <w:tr w:rsidR="00AA22A9" w14:paraId="31A39383" w14:textId="77777777" w:rsidTr="00AA22A9">
        <w:trPr>
          <w:trHeight w:val="330"/>
        </w:trPr>
        <w:tc>
          <w:tcPr>
            <w:tcW w:w="2180" w:type="dxa"/>
            <w:vMerge/>
            <w:tcBorders>
              <w:top w:val="single" w:sz="4" w:space="0" w:color="auto"/>
              <w:left w:val="nil"/>
              <w:bottom w:val="single" w:sz="4" w:space="0" w:color="000000"/>
              <w:right w:val="nil"/>
            </w:tcBorders>
            <w:vAlign w:val="center"/>
            <w:hideMark/>
          </w:tcPr>
          <w:p w14:paraId="1D33FA8B" w14:textId="77777777" w:rsidR="00AA22A9" w:rsidRDefault="00AA22A9">
            <w:pPr>
              <w:rPr>
                <w:rFonts w:ascii="Arial Narrow" w:hAnsi="Arial Narrow" w:cs="Calibri"/>
                <w:b/>
                <w:bCs/>
                <w:sz w:val="22"/>
                <w:szCs w:val="22"/>
              </w:rPr>
            </w:pPr>
          </w:p>
        </w:tc>
        <w:tc>
          <w:tcPr>
            <w:tcW w:w="2480" w:type="dxa"/>
            <w:gridSpan w:val="2"/>
            <w:tcBorders>
              <w:top w:val="single" w:sz="4" w:space="0" w:color="262626"/>
              <w:left w:val="nil"/>
              <w:bottom w:val="single" w:sz="4" w:space="0" w:color="262626"/>
              <w:right w:val="nil"/>
            </w:tcBorders>
            <w:shd w:val="clear" w:color="auto" w:fill="auto"/>
            <w:vAlign w:val="center"/>
            <w:hideMark/>
          </w:tcPr>
          <w:p w14:paraId="6E1F594C" w14:textId="77777777" w:rsidR="00AA22A9" w:rsidRDefault="00AA22A9">
            <w:pPr>
              <w:jc w:val="center"/>
              <w:rPr>
                <w:rFonts w:ascii="Arial Narrow" w:hAnsi="Arial Narrow" w:cs="Calibri"/>
                <w:b/>
                <w:bCs/>
                <w:color w:val="000000"/>
                <w:sz w:val="18"/>
                <w:szCs w:val="18"/>
              </w:rPr>
            </w:pPr>
            <w:r>
              <w:rPr>
                <w:rFonts w:ascii="Arial Narrow" w:hAnsi="Arial Narrow" w:cs="Calibri"/>
                <w:b/>
                <w:bCs/>
                <w:color w:val="000000"/>
                <w:sz w:val="18"/>
                <w:szCs w:val="18"/>
              </w:rPr>
              <w:t>Stesso comune</w:t>
            </w:r>
          </w:p>
        </w:tc>
        <w:tc>
          <w:tcPr>
            <w:tcW w:w="2480" w:type="dxa"/>
            <w:gridSpan w:val="2"/>
            <w:tcBorders>
              <w:top w:val="single" w:sz="4" w:space="0" w:color="262626"/>
              <w:left w:val="nil"/>
              <w:bottom w:val="single" w:sz="4" w:space="0" w:color="262626"/>
              <w:right w:val="nil"/>
            </w:tcBorders>
            <w:shd w:val="clear" w:color="auto" w:fill="auto"/>
            <w:vAlign w:val="center"/>
            <w:hideMark/>
          </w:tcPr>
          <w:p w14:paraId="43B1984B" w14:textId="77777777" w:rsidR="00AA22A9" w:rsidRDefault="00AA22A9">
            <w:pPr>
              <w:jc w:val="center"/>
              <w:rPr>
                <w:rFonts w:ascii="Arial Narrow" w:hAnsi="Arial Narrow" w:cs="Calibri"/>
                <w:b/>
                <w:bCs/>
                <w:color w:val="000000"/>
                <w:sz w:val="18"/>
                <w:szCs w:val="18"/>
              </w:rPr>
            </w:pPr>
            <w:r>
              <w:rPr>
                <w:rFonts w:ascii="Arial Narrow" w:hAnsi="Arial Narrow" w:cs="Calibri"/>
                <w:b/>
                <w:bCs/>
                <w:color w:val="000000"/>
                <w:sz w:val="18"/>
                <w:szCs w:val="18"/>
              </w:rPr>
              <w:t>Altro comune</w:t>
            </w:r>
          </w:p>
        </w:tc>
        <w:tc>
          <w:tcPr>
            <w:tcW w:w="2480" w:type="dxa"/>
            <w:gridSpan w:val="2"/>
            <w:vMerge/>
            <w:tcBorders>
              <w:top w:val="single" w:sz="4" w:space="0" w:color="262626"/>
              <w:left w:val="nil"/>
              <w:bottom w:val="single" w:sz="4" w:space="0" w:color="262626"/>
              <w:right w:val="nil"/>
            </w:tcBorders>
            <w:vAlign w:val="center"/>
            <w:hideMark/>
          </w:tcPr>
          <w:p w14:paraId="0F2C4D71" w14:textId="77777777" w:rsidR="00AA22A9" w:rsidRDefault="00AA22A9">
            <w:pPr>
              <w:rPr>
                <w:rFonts w:ascii="Arial Narrow" w:hAnsi="Arial Narrow" w:cs="Calibri"/>
                <w:b/>
                <w:bCs/>
                <w:color w:val="000000"/>
                <w:sz w:val="18"/>
                <w:szCs w:val="18"/>
              </w:rPr>
            </w:pPr>
          </w:p>
        </w:tc>
      </w:tr>
      <w:tr w:rsidR="00AA22A9" w14:paraId="7E10F5C5" w14:textId="77777777" w:rsidTr="00AA22A9">
        <w:trPr>
          <w:trHeight w:val="300"/>
        </w:trPr>
        <w:tc>
          <w:tcPr>
            <w:tcW w:w="2180" w:type="dxa"/>
            <w:vMerge/>
            <w:tcBorders>
              <w:top w:val="single" w:sz="4" w:space="0" w:color="auto"/>
              <w:left w:val="nil"/>
              <w:bottom w:val="single" w:sz="4" w:space="0" w:color="000000"/>
              <w:right w:val="nil"/>
            </w:tcBorders>
            <w:vAlign w:val="center"/>
            <w:hideMark/>
          </w:tcPr>
          <w:p w14:paraId="6B5EC98D" w14:textId="77777777" w:rsidR="00AA22A9" w:rsidRDefault="00AA22A9">
            <w:pPr>
              <w:rPr>
                <w:rFonts w:ascii="Arial Narrow" w:hAnsi="Arial Narrow" w:cs="Calibri"/>
                <w:b/>
                <w:bCs/>
                <w:sz w:val="22"/>
                <w:szCs w:val="22"/>
              </w:rPr>
            </w:pPr>
          </w:p>
        </w:tc>
        <w:tc>
          <w:tcPr>
            <w:tcW w:w="1240" w:type="dxa"/>
            <w:tcBorders>
              <w:top w:val="nil"/>
              <w:left w:val="nil"/>
              <w:bottom w:val="single" w:sz="4" w:space="0" w:color="262626"/>
              <w:right w:val="nil"/>
            </w:tcBorders>
            <w:shd w:val="clear" w:color="000000" w:fill="D9D9D9"/>
            <w:vAlign w:val="center"/>
            <w:hideMark/>
          </w:tcPr>
          <w:p w14:paraId="2E671292" w14:textId="77777777" w:rsidR="00AA22A9" w:rsidRDefault="00AA22A9">
            <w:pPr>
              <w:jc w:val="right"/>
              <w:rPr>
                <w:rFonts w:ascii="Arial Narrow" w:hAnsi="Arial Narrow" w:cs="Calibri"/>
                <w:b/>
                <w:bCs/>
                <w:color w:val="000000"/>
                <w:sz w:val="18"/>
                <w:szCs w:val="18"/>
              </w:rPr>
            </w:pPr>
            <w:r>
              <w:rPr>
                <w:rFonts w:ascii="Arial Narrow" w:hAnsi="Arial Narrow" w:cs="Calibri"/>
                <w:b/>
                <w:bCs/>
                <w:color w:val="000000"/>
                <w:sz w:val="18"/>
                <w:szCs w:val="18"/>
              </w:rPr>
              <w:t>v. a.</w:t>
            </w:r>
          </w:p>
        </w:tc>
        <w:tc>
          <w:tcPr>
            <w:tcW w:w="1240" w:type="dxa"/>
            <w:tcBorders>
              <w:top w:val="nil"/>
              <w:left w:val="nil"/>
              <w:bottom w:val="single" w:sz="4" w:space="0" w:color="262626"/>
              <w:right w:val="nil"/>
            </w:tcBorders>
            <w:shd w:val="clear" w:color="auto" w:fill="auto"/>
            <w:vAlign w:val="center"/>
            <w:hideMark/>
          </w:tcPr>
          <w:p w14:paraId="434037B1" w14:textId="77777777" w:rsidR="00AA22A9" w:rsidRDefault="00AA22A9">
            <w:pPr>
              <w:jc w:val="right"/>
              <w:rPr>
                <w:rFonts w:ascii="Arial Narrow" w:hAnsi="Arial Narrow" w:cs="Calibri"/>
                <w:b/>
                <w:bCs/>
                <w:color w:val="000000"/>
                <w:sz w:val="18"/>
                <w:szCs w:val="18"/>
              </w:rPr>
            </w:pPr>
            <w:r>
              <w:rPr>
                <w:rFonts w:ascii="Arial Narrow" w:hAnsi="Arial Narrow" w:cs="Calibri"/>
                <w:b/>
                <w:bCs/>
                <w:color w:val="000000"/>
                <w:sz w:val="18"/>
                <w:szCs w:val="18"/>
              </w:rPr>
              <w:t>%</w:t>
            </w:r>
          </w:p>
        </w:tc>
        <w:tc>
          <w:tcPr>
            <w:tcW w:w="1240" w:type="dxa"/>
            <w:tcBorders>
              <w:top w:val="nil"/>
              <w:left w:val="nil"/>
              <w:bottom w:val="single" w:sz="4" w:space="0" w:color="262626"/>
              <w:right w:val="nil"/>
            </w:tcBorders>
            <w:shd w:val="clear" w:color="000000" w:fill="D9D9D9"/>
            <w:vAlign w:val="center"/>
            <w:hideMark/>
          </w:tcPr>
          <w:p w14:paraId="11A5542D" w14:textId="77777777" w:rsidR="00AA22A9" w:rsidRDefault="00AA22A9">
            <w:pPr>
              <w:jc w:val="right"/>
              <w:rPr>
                <w:rFonts w:ascii="Arial Narrow" w:hAnsi="Arial Narrow" w:cs="Calibri"/>
                <w:b/>
                <w:bCs/>
                <w:color w:val="000000"/>
                <w:sz w:val="18"/>
                <w:szCs w:val="18"/>
              </w:rPr>
            </w:pPr>
            <w:r>
              <w:rPr>
                <w:rFonts w:ascii="Arial Narrow" w:hAnsi="Arial Narrow" w:cs="Calibri"/>
                <w:b/>
                <w:bCs/>
                <w:color w:val="000000"/>
                <w:sz w:val="18"/>
                <w:szCs w:val="18"/>
              </w:rPr>
              <w:t>v. a.</w:t>
            </w:r>
          </w:p>
        </w:tc>
        <w:tc>
          <w:tcPr>
            <w:tcW w:w="1240" w:type="dxa"/>
            <w:tcBorders>
              <w:top w:val="nil"/>
              <w:left w:val="nil"/>
              <w:bottom w:val="single" w:sz="4" w:space="0" w:color="262626"/>
              <w:right w:val="nil"/>
            </w:tcBorders>
            <w:shd w:val="clear" w:color="auto" w:fill="auto"/>
            <w:vAlign w:val="center"/>
            <w:hideMark/>
          </w:tcPr>
          <w:p w14:paraId="0E9AF1C8" w14:textId="77777777" w:rsidR="00AA22A9" w:rsidRDefault="00AA22A9">
            <w:pPr>
              <w:jc w:val="right"/>
              <w:rPr>
                <w:rFonts w:ascii="Arial Narrow" w:hAnsi="Arial Narrow" w:cs="Calibri"/>
                <w:b/>
                <w:bCs/>
                <w:color w:val="000000"/>
                <w:sz w:val="18"/>
                <w:szCs w:val="18"/>
              </w:rPr>
            </w:pPr>
            <w:r>
              <w:rPr>
                <w:rFonts w:ascii="Arial Narrow" w:hAnsi="Arial Narrow" w:cs="Calibri"/>
                <w:b/>
                <w:bCs/>
                <w:color w:val="000000"/>
                <w:sz w:val="18"/>
                <w:szCs w:val="18"/>
              </w:rPr>
              <w:t>%</w:t>
            </w:r>
          </w:p>
        </w:tc>
        <w:tc>
          <w:tcPr>
            <w:tcW w:w="1240" w:type="dxa"/>
            <w:tcBorders>
              <w:top w:val="nil"/>
              <w:left w:val="nil"/>
              <w:bottom w:val="single" w:sz="4" w:space="0" w:color="262626"/>
              <w:right w:val="nil"/>
            </w:tcBorders>
            <w:shd w:val="clear" w:color="000000" w:fill="D9D9D9"/>
            <w:vAlign w:val="center"/>
            <w:hideMark/>
          </w:tcPr>
          <w:p w14:paraId="693A384E" w14:textId="77777777" w:rsidR="00AA22A9" w:rsidRDefault="00AA22A9">
            <w:pPr>
              <w:jc w:val="right"/>
              <w:rPr>
                <w:rFonts w:ascii="Arial Narrow" w:hAnsi="Arial Narrow" w:cs="Calibri"/>
                <w:b/>
                <w:bCs/>
                <w:color w:val="000000"/>
                <w:sz w:val="18"/>
                <w:szCs w:val="18"/>
              </w:rPr>
            </w:pPr>
            <w:r>
              <w:rPr>
                <w:rFonts w:ascii="Arial Narrow" w:hAnsi="Arial Narrow" w:cs="Calibri"/>
                <w:b/>
                <w:bCs/>
                <w:color w:val="000000"/>
                <w:sz w:val="18"/>
                <w:szCs w:val="18"/>
              </w:rPr>
              <w:t>v. a.</w:t>
            </w:r>
          </w:p>
        </w:tc>
        <w:tc>
          <w:tcPr>
            <w:tcW w:w="1240" w:type="dxa"/>
            <w:tcBorders>
              <w:top w:val="nil"/>
              <w:left w:val="nil"/>
              <w:bottom w:val="single" w:sz="4" w:space="0" w:color="262626"/>
              <w:right w:val="nil"/>
            </w:tcBorders>
            <w:shd w:val="clear" w:color="auto" w:fill="auto"/>
            <w:vAlign w:val="center"/>
            <w:hideMark/>
          </w:tcPr>
          <w:p w14:paraId="798F0071" w14:textId="77777777" w:rsidR="00AA22A9" w:rsidRDefault="00AA22A9">
            <w:pPr>
              <w:jc w:val="right"/>
              <w:rPr>
                <w:rFonts w:ascii="Arial Narrow" w:hAnsi="Arial Narrow" w:cs="Calibri"/>
                <w:b/>
                <w:bCs/>
                <w:color w:val="000000"/>
                <w:sz w:val="18"/>
                <w:szCs w:val="18"/>
              </w:rPr>
            </w:pPr>
            <w:r>
              <w:rPr>
                <w:rFonts w:ascii="Arial Narrow" w:hAnsi="Arial Narrow" w:cs="Calibri"/>
                <w:b/>
                <w:bCs/>
                <w:color w:val="000000"/>
                <w:sz w:val="18"/>
                <w:szCs w:val="18"/>
              </w:rPr>
              <w:t>%</w:t>
            </w:r>
          </w:p>
        </w:tc>
      </w:tr>
      <w:tr w:rsidR="00AA22A9" w14:paraId="2E55899F" w14:textId="77777777" w:rsidTr="00AA22A9">
        <w:trPr>
          <w:trHeight w:val="300"/>
        </w:trPr>
        <w:tc>
          <w:tcPr>
            <w:tcW w:w="2180" w:type="dxa"/>
            <w:tcBorders>
              <w:top w:val="nil"/>
              <w:left w:val="nil"/>
              <w:bottom w:val="single" w:sz="4" w:space="0" w:color="262626"/>
              <w:right w:val="nil"/>
            </w:tcBorders>
            <w:shd w:val="clear" w:color="auto" w:fill="auto"/>
            <w:noWrap/>
            <w:vAlign w:val="center"/>
            <w:hideMark/>
          </w:tcPr>
          <w:p w14:paraId="6BB1772E" w14:textId="77777777" w:rsidR="00AA22A9" w:rsidRDefault="00AA22A9">
            <w:pPr>
              <w:rPr>
                <w:rFonts w:ascii="Arial Narrow" w:hAnsi="Arial Narrow" w:cs="Calibri"/>
                <w:color w:val="000000"/>
                <w:sz w:val="18"/>
                <w:szCs w:val="18"/>
              </w:rPr>
            </w:pPr>
            <w:r>
              <w:rPr>
                <w:rFonts w:ascii="Arial Narrow" w:hAnsi="Arial Narrow" w:cs="Calibri"/>
                <w:color w:val="000000"/>
                <w:sz w:val="18"/>
                <w:szCs w:val="18"/>
              </w:rPr>
              <w:t>Matera</w:t>
            </w:r>
          </w:p>
        </w:tc>
        <w:tc>
          <w:tcPr>
            <w:tcW w:w="1240" w:type="dxa"/>
            <w:tcBorders>
              <w:top w:val="nil"/>
              <w:left w:val="nil"/>
              <w:bottom w:val="single" w:sz="4" w:space="0" w:color="262626"/>
              <w:right w:val="nil"/>
            </w:tcBorders>
            <w:shd w:val="clear" w:color="000000" w:fill="D9D9D9"/>
            <w:noWrap/>
            <w:vAlign w:val="center"/>
            <w:hideMark/>
          </w:tcPr>
          <w:p w14:paraId="12362037"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66.263</w:t>
            </w:r>
          </w:p>
        </w:tc>
        <w:tc>
          <w:tcPr>
            <w:tcW w:w="1240" w:type="dxa"/>
            <w:tcBorders>
              <w:top w:val="nil"/>
              <w:left w:val="nil"/>
              <w:bottom w:val="single" w:sz="4" w:space="0" w:color="262626"/>
              <w:right w:val="nil"/>
            </w:tcBorders>
            <w:shd w:val="clear" w:color="auto" w:fill="auto"/>
            <w:noWrap/>
            <w:vAlign w:val="center"/>
            <w:hideMark/>
          </w:tcPr>
          <w:p w14:paraId="417EA53D"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76,6</w:t>
            </w:r>
          </w:p>
        </w:tc>
        <w:tc>
          <w:tcPr>
            <w:tcW w:w="1240" w:type="dxa"/>
            <w:tcBorders>
              <w:top w:val="nil"/>
              <w:left w:val="nil"/>
              <w:bottom w:val="single" w:sz="4" w:space="0" w:color="262626"/>
              <w:right w:val="nil"/>
            </w:tcBorders>
            <w:shd w:val="clear" w:color="000000" w:fill="D9D9D9"/>
            <w:noWrap/>
            <w:vAlign w:val="center"/>
            <w:hideMark/>
          </w:tcPr>
          <w:p w14:paraId="3295E509"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20.294</w:t>
            </w:r>
          </w:p>
        </w:tc>
        <w:tc>
          <w:tcPr>
            <w:tcW w:w="1240" w:type="dxa"/>
            <w:tcBorders>
              <w:top w:val="nil"/>
              <w:left w:val="nil"/>
              <w:bottom w:val="single" w:sz="4" w:space="0" w:color="262626"/>
              <w:right w:val="nil"/>
            </w:tcBorders>
            <w:shd w:val="clear" w:color="auto" w:fill="auto"/>
            <w:noWrap/>
            <w:vAlign w:val="center"/>
            <w:hideMark/>
          </w:tcPr>
          <w:p w14:paraId="3B8055DF"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23,4</w:t>
            </w:r>
          </w:p>
        </w:tc>
        <w:tc>
          <w:tcPr>
            <w:tcW w:w="1240" w:type="dxa"/>
            <w:tcBorders>
              <w:top w:val="nil"/>
              <w:left w:val="nil"/>
              <w:bottom w:val="single" w:sz="4" w:space="0" w:color="262626"/>
              <w:right w:val="nil"/>
            </w:tcBorders>
            <w:shd w:val="clear" w:color="000000" w:fill="D9D9D9"/>
            <w:noWrap/>
            <w:vAlign w:val="center"/>
            <w:hideMark/>
          </w:tcPr>
          <w:p w14:paraId="456B306A"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86.557</w:t>
            </w:r>
          </w:p>
        </w:tc>
        <w:tc>
          <w:tcPr>
            <w:tcW w:w="1240" w:type="dxa"/>
            <w:tcBorders>
              <w:top w:val="nil"/>
              <w:left w:val="nil"/>
              <w:bottom w:val="single" w:sz="4" w:space="0" w:color="262626"/>
              <w:right w:val="nil"/>
            </w:tcBorders>
            <w:shd w:val="clear" w:color="auto" w:fill="auto"/>
            <w:noWrap/>
            <w:vAlign w:val="center"/>
            <w:hideMark/>
          </w:tcPr>
          <w:p w14:paraId="3C2D3BA2"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AA22A9" w14:paraId="713BC530" w14:textId="77777777" w:rsidTr="00AA22A9">
        <w:trPr>
          <w:trHeight w:val="300"/>
        </w:trPr>
        <w:tc>
          <w:tcPr>
            <w:tcW w:w="2180" w:type="dxa"/>
            <w:tcBorders>
              <w:top w:val="nil"/>
              <w:left w:val="nil"/>
              <w:bottom w:val="single" w:sz="4" w:space="0" w:color="262626"/>
              <w:right w:val="nil"/>
            </w:tcBorders>
            <w:shd w:val="clear" w:color="auto" w:fill="auto"/>
            <w:noWrap/>
            <w:vAlign w:val="center"/>
            <w:hideMark/>
          </w:tcPr>
          <w:p w14:paraId="228D7573" w14:textId="77777777" w:rsidR="00AA22A9" w:rsidRDefault="00AA22A9">
            <w:pPr>
              <w:rPr>
                <w:rFonts w:ascii="Arial Narrow" w:hAnsi="Arial Narrow" w:cs="Calibri"/>
                <w:color w:val="000000"/>
                <w:sz w:val="18"/>
                <w:szCs w:val="18"/>
              </w:rPr>
            </w:pPr>
            <w:r>
              <w:rPr>
                <w:rFonts w:ascii="Arial Narrow" w:hAnsi="Arial Narrow" w:cs="Calibri"/>
                <w:color w:val="000000"/>
                <w:sz w:val="18"/>
                <w:szCs w:val="18"/>
              </w:rPr>
              <w:t>Potenza</w:t>
            </w:r>
          </w:p>
        </w:tc>
        <w:tc>
          <w:tcPr>
            <w:tcW w:w="1240" w:type="dxa"/>
            <w:tcBorders>
              <w:top w:val="nil"/>
              <w:left w:val="nil"/>
              <w:bottom w:val="single" w:sz="4" w:space="0" w:color="262626"/>
              <w:right w:val="nil"/>
            </w:tcBorders>
            <w:shd w:val="clear" w:color="000000" w:fill="D9D9D9"/>
            <w:noWrap/>
            <w:vAlign w:val="center"/>
            <w:hideMark/>
          </w:tcPr>
          <w:p w14:paraId="27DF8AB4"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105.149</w:t>
            </w:r>
          </w:p>
        </w:tc>
        <w:tc>
          <w:tcPr>
            <w:tcW w:w="1240" w:type="dxa"/>
            <w:tcBorders>
              <w:top w:val="nil"/>
              <w:left w:val="nil"/>
              <w:bottom w:val="single" w:sz="4" w:space="0" w:color="262626"/>
              <w:right w:val="nil"/>
            </w:tcBorders>
            <w:shd w:val="clear" w:color="auto" w:fill="auto"/>
            <w:noWrap/>
            <w:vAlign w:val="center"/>
            <w:hideMark/>
          </w:tcPr>
          <w:p w14:paraId="45D8F1A2"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66,2</w:t>
            </w:r>
          </w:p>
        </w:tc>
        <w:tc>
          <w:tcPr>
            <w:tcW w:w="1240" w:type="dxa"/>
            <w:tcBorders>
              <w:top w:val="nil"/>
              <w:left w:val="nil"/>
              <w:bottom w:val="single" w:sz="4" w:space="0" w:color="262626"/>
              <w:right w:val="nil"/>
            </w:tcBorders>
            <w:shd w:val="clear" w:color="000000" w:fill="D9D9D9"/>
            <w:noWrap/>
            <w:vAlign w:val="center"/>
            <w:hideMark/>
          </w:tcPr>
          <w:p w14:paraId="2EBAB051"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53.694</w:t>
            </w:r>
          </w:p>
        </w:tc>
        <w:tc>
          <w:tcPr>
            <w:tcW w:w="1240" w:type="dxa"/>
            <w:tcBorders>
              <w:top w:val="nil"/>
              <w:left w:val="nil"/>
              <w:bottom w:val="single" w:sz="4" w:space="0" w:color="262626"/>
              <w:right w:val="nil"/>
            </w:tcBorders>
            <w:shd w:val="clear" w:color="auto" w:fill="auto"/>
            <w:noWrap/>
            <w:vAlign w:val="center"/>
            <w:hideMark/>
          </w:tcPr>
          <w:p w14:paraId="4B0ACC72"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33,8</w:t>
            </w:r>
          </w:p>
        </w:tc>
        <w:tc>
          <w:tcPr>
            <w:tcW w:w="1240" w:type="dxa"/>
            <w:tcBorders>
              <w:top w:val="nil"/>
              <w:left w:val="nil"/>
              <w:bottom w:val="single" w:sz="4" w:space="0" w:color="262626"/>
              <w:right w:val="nil"/>
            </w:tcBorders>
            <w:shd w:val="clear" w:color="000000" w:fill="D9D9D9"/>
            <w:noWrap/>
            <w:vAlign w:val="center"/>
            <w:hideMark/>
          </w:tcPr>
          <w:p w14:paraId="78521404"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158.843</w:t>
            </w:r>
          </w:p>
        </w:tc>
        <w:tc>
          <w:tcPr>
            <w:tcW w:w="1240" w:type="dxa"/>
            <w:tcBorders>
              <w:top w:val="nil"/>
              <w:left w:val="nil"/>
              <w:bottom w:val="single" w:sz="4" w:space="0" w:color="262626"/>
              <w:right w:val="nil"/>
            </w:tcBorders>
            <w:shd w:val="clear" w:color="auto" w:fill="auto"/>
            <w:noWrap/>
            <w:vAlign w:val="center"/>
            <w:hideMark/>
          </w:tcPr>
          <w:p w14:paraId="7FD6DF27" w14:textId="77777777" w:rsidR="00AA22A9" w:rsidRDefault="00AA22A9">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AA22A9" w14:paraId="6F581E9B" w14:textId="77777777" w:rsidTr="00AA22A9">
        <w:trPr>
          <w:trHeight w:val="300"/>
        </w:trPr>
        <w:tc>
          <w:tcPr>
            <w:tcW w:w="2180" w:type="dxa"/>
            <w:tcBorders>
              <w:top w:val="nil"/>
              <w:left w:val="nil"/>
              <w:bottom w:val="single" w:sz="4" w:space="0" w:color="262626"/>
              <w:right w:val="nil"/>
            </w:tcBorders>
            <w:shd w:val="clear" w:color="000000" w:fill="C9321F"/>
            <w:noWrap/>
            <w:vAlign w:val="center"/>
            <w:hideMark/>
          </w:tcPr>
          <w:p w14:paraId="1D08C38B" w14:textId="77777777" w:rsidR="00AA22A9" w:rsidRDefault="00AA22A9">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1240" w:type="dxa"/>
            <w:tcBorders>
              <w:top w:val="single" w:sz="4" w:space="0" w:color="262626"/>
              <w:left w:val="nil"/>
              <w:bottom w:val="single" w:sz="4" w:space="0" w:color="262626"/>
              <w:right w:val="nil"/>
            </w:tcBorders>
            <w:shd w:val="clear" w:color="000000" w:fill="C9321F"/>
            <w:noWrap/>
            <w:vAlign w:val="center"/>
            <w:hideMark/>
          </w:tcPr>
          <w:p w14:paraId="74425DC5"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171.412</w:t>
            </w:r>
          </w:p>
        </w:tc>
        <w:tc>
          <w:tcPr>
            <w:tcW w:w="1240" w:type="dxa"/>
            <w:tcBorders>
              <w:top w:val="single" w:sz="4" w:space="0" w:color="262626"/>
              <w:left w:val="nil"/>
              <w:bottom w:val="single" w:sz="4" w:space="0" w:color="262626"/>
              <w:right w:val="nil"/>
            </w:tcBorders>
            <w:shd w:val="clear" w:color="000000" w:fill="C9321F"/>
            <w:noWrap/>
            <w:vAlign w:val="center"/>
            <w:hideMark/>
          </w:tcPr>
          <w:p w14:paraId="31144A33"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69,9</w:t>
            </w:r>
          </w:p>
        </w:tc>
        <w:tc>
          <w:tcPr>
            <w:tcW w:w="1240" w:type="dxa"/>
            <w:tcBorders>
              <w:top w:val="single" w:sz="4" w:space="0" w:color="262626"/>
              <w:left w:val="nil"/>
              <w:bottom w:val="single" w:sz="4" w:space="0" w:color="262626"/>
              <w:right w:val="nil"/>
            </w:tcBorders>
            <w:shd w:val="clear" w:color="000000" w:fill="C9321F"/>
            <w:noWrap/>
            <w:vAlign w:val="center"/>
            <w:hideMark/>
          </w:tcPr>
          <w:p w14:paraId="726F5546"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73.988</w:t>
            </w:r>
          </w:p>
        </w:tc>
        <w:tc>
          <w:tcPr>
            <w:tcW w:w="1240" w:type="dxa"/>
            <w:tcBorders>
              <w:top w:val="single" w:sz="4" w:space="0" w:color="262626"/>
              <w:left w:val="nil"/>
              <w:bottom w:val="single" w:sz="4" w:space="0" w:color="262626"/>
              <w:right w:val="nil"/>
            </w:tcBorders>
            <w:shd w:val="clear" w:color="000000" w:fill="C9321F"/>
            <w:noWrap/>
            <w:vAlign w:val="center"/>
            <w:hideMark/>
          </w:tcPr>
          <w:p w14:paraId="34275AF6"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30,1</w:t>
            </w:r>
          </w:p>
        </w:tc>
        <w:tc>
          <w:tcPr>
            <w:tcW w:w="1240" w:type="dxa"/>
            <w:tcBorders>
              <w:top w:val="single" w:sz="4" w:space="0" w:color="262626"/>
              <w:left w:val="nil"/>
              <w:bottom w:val="single" w:sz="4" w:space="0" w:color="262626"/>
              <w:right w:val="nil"/>
            </w:tcBorders>
            <w:shd w:val="clear" w:color="000000" w:fill="C9321F"/>
            <w:noWrap/>
            <w:vAlign w:val="center"/>
            <w:hideMark/>
          </w:tcPr>
          <w:p w14:paraId="64D96502"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245.400</w:t>
            </w:r>
          </w:p>
        </w:tc>
        <w:tc>
          <w:tcPr>
            <w:tcW w:w="1240" w:type="dxa"/>
            <w:tcBorders>
              <w:top w:val="single" w:sz="4" w:space="0" w:color="262626"/>
              <w:left w:val="nil"/>
              <w:bottom w:val="single" w:sz="4" w:space="0" w:color="262626"/>
              <w:right w:val="nil"/>
            </w:tcBorders>
            <w:shd w:val="clear" w:color="000000" w:fill="C9321F"/>
            <w:noWrap/>
            <w:vAlign w:val="center"/>
            <w:hideMark/>
          </w:tcPr>
          <w:p w14:paraId="0304EF2C"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r w:rsidR="00AA22A9" w14:paraId="74E077F3" w14:textId="77777777" w:rsidTr="00AA22A9">
        <w:trPr>
          <w:trHeight w:val="300"/>
        </w:trPr>
        <w:tc>
          <w:tcPr>
            <w:tcW w:w="2180" w:type="dxa"/>
            <w:tcBorders>
              <w:top w:val="nil"/>
              <w:left w:val="nil"/>
              <w:bottom w:val="single" w:sz="4" w:space="0" w:color="262626"/>
              <w:right w:val="nil"/>
            </w:tcBorders>
            <w:shd w:val="clear" w:color="000000" w:fill="C9321F"/>
            <w:noWrap/>
            <w:vAlign w:val="center"/>
            <w:hideMark/>
          </w:tcPr>
          <w:p w14:paraId="229B2649" w14:textId="77777777" w:rsidR="00AA22A9" w:rsidRDefault="00AA22A9">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1240" w:type="dxa"/>
            <w:tcBorders>
              <w:top w:val="single" w:sz="4" w:space="0" w:color="262626"/>
              <w:left w:val="nil"/>
              <w:bottom w:val="single" w:sz="4" w:space="0" w:color="262626"/>
              <w:right w:val="nil"/>
            </w:tcBorders>
            <w:shd w:val="clear" w:color="000000" w:fill="C9321F"/>
            <w:noWrap/>
            <w:vAlign w:val="center"/>
            <w:hideMark/>
          </w:tcPr>
          <w:p w14:paraId="35188062"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17.384.822</w:t>
            </w:r>
          </w:p>
        </w:tc>
        <w:tc>
          <w:tcPr>
            <w:tcW w:w="1240" w:type="dxa"/>
            <w:tcBorders>
              <w:top w:val="single" w:sz="4" w:space="0" w:color="262626"/>
              <w:left w:val="nil"/>
              <w:bottom w:val="single" w:sz="4" w:space="0" w:color="262626"/>
              <w:right w:val="nil"/>
            </w:tcBorders>
            <w:shd w:val="clear" w:color="000000" w:fill="C9321F"/>
            <w:noWrap/>
            <w:vAlign w:val="center"/>
            <w:hideMark/>
          </w:tcPr>
          <w:p w14:paraId="0801FC7B"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57,5</w:t>
            </w:r>
          </w:p>
        </w:tc>
        <w:tc>
          <w:tcPr>
            <w:tcW w:w="1240" w:type="dxa"/>
            <w:tcBorders>
              <w:top w:val="single" w:sz="4" w:space="0" w:color="262626"/>
              <w:left w:val="nil"/>
              <w:bottom w:val="single" w:sz="4" w:space="0" w:color="262626"/>
              <w:right w:val="nil"/>
            </w:tcBorders>
            <w:shd w:val="clear" w:color="000000" w:fill="C9321F"/>
            <w:noWrap/>
            <w:vAlign w:val="center"/>
            <w:hideMark/>
          </w:tcPr>
          <w:p w14:paraId="4F3FBC18"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12.829.579</w:t>
            </w:r>
          </w:p>
        </w:tc>
        <w:tc>
          <w:tcPr>
            <w:tcW w:w="1240" w:type="dxa"/>
            <w:tcBorders>
              <w:top w:val="single" w:sz="4" w:space="0" w:color="262626"/>
              <w:left w:val="nil"/>
              <w:bottom w:val="single" w:sz="4" w:space="0" w:color="262626"/>
              <w:right w:val="nil"/>
            </w:tcBorders>
            <w:shd w:val="clear" w:color="000000" w:fill="C9321F"/>
            <w:noWrap/>
            <w:vAlign w:val="center"/>
            <w:hideMark/>
          </w:tcPr>
          <w:p w14:paraId="5B1FD483"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42,5</w:t>
            </w:r>
          </w:p>
        </w:tc>
        <w:tc>
          <w:tcPr>
            <w:tcW w:w="1240" w:type="dxa"/>
            <w:tcBorders>
              <w:top w:val="single" w:sz="4" w:space="0" w:color="262626"/>
              <w:left w:val="nil"/>
              <w:bottom w:val="single" w:sz="4" w:space="0" w:color="262626"/>
              <w:right w:val="nil"/>
            </w:tcBorders>
            <w:shd w:val="clear" w:color="000000" w:fill="C9321F"/>
            <w:noWrap/>
            <w:vAlign w:val="center"/>
            <w:hideMark/>
          </w:tcPr>
          <w:p w14:paraId="6F287FBA"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30.214.401</w:t>
            </w:r>
          </w:p>
        </w:tc>
        <w:tc>
          <w:tcPr>
            <w:tcW w:w="1240" w:type="dxa"/>
            <w:tcBorders>
              <w:top w:val="single" w:sz="4" w:space="0" w:color="262626"/>
              <w:left w:val="nil"/>
              <w:bottom w:val="single" w:sz="4" w:space="0" w:color="262626"/>
              <w:right w:val="nil"/>
            </w:tcBorders>
            <w:shd w:val="clear" w:color="000000" w:fill="C9321F"/>
            <w:noWrap/>
            <w:vAlign w:val="center"/>
            <w:hideMark/>
          </w:tcPr>
          <w:p w14:paraId="7FB8F01D" w14:textId="77777777" w:rsidR="00AA22A9" w:rsidRDefault="00AA22A9">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14:paraId="1994ECFF" w14:textId="77777777" w:rsidR="005B0778" w:rsidRDefault="005B0778" w:rsidP="00047761">
      <w:pPr>
        <w:spacing w:after="120"/>
        <w:jc w:val="both"/>
        <w:rPr>
          <w:rFonts w:ascii="Trebuchet MS" w:hAnsi="Trebuchet MS" w:cs="Arial"/>
          <w:b/>
          <w:iCs/>
          <w:color w:val="5F5F5F"/>
          <w:kern w:val="28"/>
          <w:sz w:val="22"/>
          <w:szCs w:val="22"/>
        </w:rPr>
      </w:pPr>
      <w:r>
        <w:rPr>
          <w:rFonts w:ascii="Trebuchet MS" w:hAnsi="Trebuchet MS" w:cs="Arial"/>
          <w:b/>
          <w:iCs/>
          <w:color w:val="5F5F5F"/>
          <w:kern w:val="28"/>
          <w:sz w:val="22"/>
          <w:szCs w:val="22"/>
        </w:rPr>
        <w:br w:type="page"/>
      </w:r>
    </w:p>
    <w:p w14:paraId="472B9F45" w14:textId="0D464DF3" w:rsidR="0069134D" w:rsidRPr="004162C3" w:rsidRDefault="00CF29F0" w:rsidP="00047761">
      <w:pPr>
        <w:spacing w:after="120"/>
        <w:jc w:val="both"/>
        <w:rPr>
          <w:rFonts w:ascii="Trebuchet MS" w:hAnsi="Trebuchet MS" w:cs="Arial"/>
          <w:iCs/>
          <w:color w:val="5F5F5F"/>
          <w:sz w:val="20"/>
          <w:szCs w:val="20"/>
        </w:rPr>
      </w:pPr>
      <w:r w:rsidRPr="007E75F4">
        <w:rPr>
          <w:rFonts w:ascii="Trebuchet MS" w:hAnsi="Trebuchet MS" w:cs="Arial"/>
          <w:b/>
          <w:iCs/>
          <w:color w:val="5F5F5F"/>
          <w:kern w:val="28"/>
          <w:sz w:val="22"/>
          <w:szCs w:val="22"/>
        </w:rPr>
        <w:lastRenderedPageBreak/>
        <w:t xml:space="preserve">Strategia nazionale delle </w:t>
      </w:r>
      <w:r w:rsidR="00E8749F">
        <w:rPr>
          <w:rFonts w:ascii="Trebuchet MS" w:hAnsi="Trebuchet MS" w:cs="Arial"/>
          <w:b/>
          <w:iCs/>
          <w:color w:val="5F5F5F"/>
          <w:kern w:val="28"/>
          <w:sz w:val="22"/>
          <w:szCs w:val="22"/>
        </w:rPr>
        <w:t>A</w:t>
      </w:r>
      <w:r w:rsidRPr="007E75F4">
        <w:rPr>
          <w:rFonts w:ascii="Trebuchet MS" w:hAnsi="Trebuchet MS" w:cs="Arial"/>
          <w:b/>
          <w:iCs/>
          <w:color w:val="5F5F5F"/>
          <w:kern w:val="28"/>
          <w:sz w:val="22"/>
          <w:szCs w:val="22"/>
        </w:rPr>
        <w:t>ree interne: c</w:t>
      </w:r>
      <w:r w:rsidR="009A34C5" w:rsidRPr="007E75F4">
        <w:rPr>
          <w:rFonts w:ascii="Trebuchet MS" w:hAnsi="Trebuchet MS" w:cs="Arial"/>
          <w:b/>
          <w:iCs/>
          <w:color w:val="5F5F5F"/>
          <w:kern w:val="28"/>
          <w:sz w:val="22"/>
          <w:szCs w:val="22"/>
        </w:rPr>
        <w:t>aratteristiche della popolazione</w:t>
      </w:r>
      <w:r w:rsidR="009A34C5" w:rsidRPr="004162C3">
        <w:rPr>
          <w:rFonts w:ascii="Trebuchet MS" w:hAnsi="Trebuchet MS" w:cs="Arial"/>
          <w:b/>
          <w:iCs/>
          <w:color w:val="5F5F5F"/>
          <w:kern w:val="28"/>
          <w:sz w:val="22"/>
          <w:szCs w:val="22"/>
        </w:rPr>
        <w:t xml:space="preserve"> </w:t>
      </w:r>
    </w:p>
    <w:p w14:paraId="486FAB62" w14:textId="1D01F6B3" w:rsidR="009A34C5" w:rsidRPr="003B71FA" w:rsidRDefault="009A34C5" w:rsidP="00B94469">
      <w:pPr>
        <w:spacing w:after="120"/>
        <w:jc w:val="both"/>
        <w:rPr>
          <w:rFonts w:ascii="Trebuchet MS" w:hAnsi="Trebuchet MS" w:cs="Arial"/>
          <w:color w:val="5F5F5F"/>
          <w:sz w:val="20"/>
          <w:szCs w:val="20"/>
        </w:rPr>
      </w:pPr>
      <w:r>
        <w:rPr>
          <w:rFonts w:ascii="Trebuchet MS" w:hAnsi="Trebuchet MS" w:cs="Arial"/>
          <w:color w:val="5F5F5F"/>
          <w:sz w:val="20"/>
          <w:szCs w:val="20"/>
        </w:rPr>
        <w:t>Al 31</w:t>
      </w:r>
      <w:r w:rsidR="00CF29F0">
        <w:rPr>
          <w:rFonts w:ascii="Trebuchet MS" w:hAnsi="Trebuchet MS" w:cs="Arial"/>
          <w:color w:val="5F5F5F"/>
          <w:sz w:val="20"/>
          <w:szCs w:val="20"/>
        </w:rPr>
        <w:t xml:space="preserve"> dicembre 2020</w:t>
      </w:r>
      <w:r>
        <w:rPr>
          <w:rFonts w:ascii="Trebuchet MS" w:hAnsi="Trebuchet MS" w:cs="Arial"/>
          <w:color w:val="5F5F5F"/>
          <w:sz w:val="20"/>
          <w:szCs w:val="20"/>
        </w:rPr>
        <w:t xml:space="preserve"> </w:t>
      </w:r>
      <w:r w:rsidR="00561819">
        <w:rPr>
          <w:rFonts w:ascii="Trebuchet MS" w:hAnsi="Trebuchet MS" w:cs="Arial"/>
          <w:color w:val="5F5F5F"/>
          <w:sz w:val="20"/>
          <w:szCs w:val="20"/>
        </w:rPr>
        <w:t>il 26,6</w:t>
      </w:r>
      <w:r>
        <w:rPr>
          <w:rFonts w:ascii="Trebuchet MS" w:hAnsi="Trebuchet MS" w:cs="Arial"/>
          <w:color w:val="5F5F5F"/>
          <w:sz w:val="20"/>
          <w:szCs w:val="20"/>
        </w:rPr>
        <w:t xml:space="preserve">% dei </w:t>
      </w:r>
      <w:r w:rsidR="00C73ECE">
        <w:rPr>
          <w:rFonts w:ascii="Trebuchet MS" w:hAnsi="Trebuchet MS" w:cs="Arial"/>
          <w:color w:val="5F5F5F"/>
          <w:sz w:val="20"/>
          <w:szCs w:val="20"/>
        </w:rPr>
        <w:t>lucani</w:t>
      </w:r>
      <w:r>
        <w:rPr>
          <w:rFonts w:ascii="Trebuchet MS" w:hAnsi="Trebuchet MS" w:cs="Arial"/>
          <w:color w:val="5F5F5F"/>
          <w:sz w:val="20"/>
          <w:szCs w:val="20"/>
        </w:rPr>
        <w:t xml:space="preserve"> vive in comuni classificati come Centri e può, almeno in teoria, raggiungere i tre servizi essenziali, individuati dalla Strategia Nazionale per le Aree Interne</w:t>
      </w:r>
      <w:r w:rsidRPr="003B71FA">
        <w:rPr>
          <w:rStyle w:val="Rimandonotaapidipagina"/>
          <w:rFonts w:ascii="Trebuchet MS" w:hAnsi="Trebuchet MS" w:cs="Arial"/>
          <w:color w:val="5F5F5F"/>
          <w:sz w:val="20"/>
          <w:szCs w:val="20"/>
        </w:rPr>
        <w:footnoteReference w:id="4"/>
      </w:r>
      <w:r>
        <w:rPr>
          <w:rFonts w:ascii="Trebuchet MS" w:hAnsi="Trebuchet MS" w:cs="Arial"/>
          <w:color w:val="5F5F5F"/>
          <w:sz w:val="20"/>
          <w:szCs w:val="20"/>
        </w:rPr>
        <w:t xml:space="preserve">, in meno di 20 minuti. Rispetto all’anno precedente, la popolazione dei Centri </w:t>
      </w:r>
      <w:r w:rsidR="00561819">
        <w:rPr>
          <w:rFonts w:ascii="Trebuchet MS" w:hAnsi="Trebuchet MS" w:cs="Arial"/>
          <w:color w:val="5F5F5F"/>
          <w:sz w:val="20"/>
          <w:szCs w:val="20"/>
        </w:rPr>
        <w:t>diminuisce dell’1,2%</w:t>
      </w:r>
      <w:r w:rsidR="00C236F8">
        <w:rPr>
          <w:rFonts w:ascii="Trebuchet MS" w:hAnsi="Trebuchet MS" w:cs="Arial"/>
          <w:color w:val="5F5F5F"/>
          <w:sz w:val="20"/>
          <w:szCs w:val="20"/>
        </w:rPr>
        <w:t xml:space="preserve"> (Prospetto 12)</w:t>
      </w:r>
      <w:r w:rsidR="00561819">
        <w:rPr>
          <w:rFonts w:ascii="Trebuchet MS" w:hAnsi="Trebuchet MS" w:cs="Arial"/>
          <w:color w:val="5F5F5F"/>
          <w:sz w:val="20"/>
          <w:szCs w:val="20"/>
        </w:rPr>
        <w:t>.</w:t>
      </w:r>
    </w:p>
    <w:p w14:paraId="390D842E" w14:textId="0A903B65" w:rsidR="00EC2671" w:rsidRDefault="009A34C5" w:rsidP="00B94469">
      <w:pPr>
        <w:spacing w:after="120"/>
        <w:jc w:val="both"/>
        <w:rPr>
          <w:rFonts w:ascii="Trebuchet MS" w:hAnsi="Trebuchet MS" w:cs="Arial"/>
          <w:color w:val="5F5F5F"/>
          <w:sz w:val="20"/>
          <w:szCs w:val="20"/>
        </w:rPr>
      </w:pPr>
      <w:r>
        <w:rPr>
          <w:rFonts w:ascii="Trebuchet MS" w:hAnsi="Trebuchet MS" w:cs="Arial"/>
          <w:color w:val="5F5F5F"/>
          <w:sz w:val="20"/>
          <w:szCs w:val="20"/>
        </w:rPr>
        <w:t>Nei</w:t>
      </w:r>
      <w:r w:rsidRPr="003B71FA">
        <w:rPr>
          <w:rFonts w:ascii="Trebuchet MS" w:hAnsi="Trebuchet MS" w:cs="Arial"/>
          <w:color w:val="5F5F5F"/>
          <w:sz w:val="20"/>
          <w:szCs w:val="20"/>
        </w:rPr>
        <w:t xml:space="preserve"> </w:t>
      </w:r>
      <w:r>
        <w:rPr>
          <w:rFonts w:ascii="Trebuchet MS" w:hAnsi="Trebuchet MS" w:cs="Arial"/>
          <w:color w:val="5F5F5F"/>
          <w:sz w:val="20"/>
          <w:szCs w:val="20"/>
        </w:rPr>
        <w:t>1</w:t>
      </w:r>
      <w:r w:rsidR="00561819">
        <w:rPr>
          <w:rFonts w:ascii="Trebuchet MS" w:hAnsi="Trebuchet MS" w:cs="Arial"/>
          <w:color w:val="5F5F5F"/>
          <w:sz w:val="20"/>
          <w:szCs w:val="20"/>
        </w:rPr>
        <w:t>26</w:t>
      </w:r>
      <w:r>
        <w:rPr>
          <w:rFonts w:ascii="Trebuchet MS" w:hAnsi="Trebuchet MS" w:cs="Arial"/>
          <w:color w:val="5F5F5F"/>
          <w:sz w:val="20"/>
          <w:szCs w:val="20"/>
        </w:rPr>
        <w:t xml:space="preserve"> </w:t>
      </w:r>
      <w:r w:rsidRPr="003B71FA">
        <w:rPr>
          <w:rFonts w:ascii="Trebuchet MS" w:hAnsi="Trebuchet MS" w:cs="Arial"/>
          <w:color w:val="5F5F5F"/>
          <w:sz w:val="20"/>
          <w:szCs w:val="20"/>
        </w:rPr>
        <w:t>comuni ubicati a più di 20 minuti di percorrenza dai comuni Polo</w:t>
      </w:r>
      <w:r w:rsidR="00E05FB0">
        <w:rPr>
          <w:rFonts w:ascii="Trebuchet MS" w:hAnsi="Trebuchet MS" w:cs="Arial"/>
          <w:color w:val="5F5F5F"/>
          <w:sz w:val="20"/>
          <w:szCs w:val="20"/>
        </w:rPr>
        <w:t>,</w:t>
      </w:r>
      <w:r w:rsidRPr="003B71FA">
        <w:rPr>
          <w:rFonts w:ascii="Trebuchet MS" w:hAnsi="Trebuchet MS" w:cs="Arial"/>
          <w:color w:val="5F5F5F"/>
          <w:sz w:val="20"/>
          <w:szCs w:val="20"/>
        </w:rPr>
        <w:t xml:space="preserve"> risiedono </w:t>
      </w:r>
      <w:r>
        <w:rPr>
          <w:rFonts w:ascii="Trebuchet MS" w:hAnsi="Trebuchet MS" w:cs="Arial"/>
          <w:color w:val="5F5F5F"/>
          <w:sz w:val="20"/>
          <w:szCs w:val="20"/>
        </w:rPr>
        <w:t>4</w:t>
      </w:r>
      <w:r w:rsidR="00561819">
        <w:rPr>
          <w:rFonts w:ascii="Trebuchet MS" w:hAnsi="Trebuchet MS" w:cs="Arial"/>
          <w:color w:val="5F5F5F"/>
          <w:sz w:val="20"/>
          <w:szCs w:val="20"/>
        </w:rPr>
        <w:t>00</w:t>
      </w:r>
      <w:r>
        <w:rPr>
          <w:rFonts w:ascii="Trebuchet MS" w:hAnsi="Trebuchet MS" w:cs="Arial"/>
          <w:color w:val="5F5F5F"/>
          <w:sz w:val="20"/>
          <w:szCs w:val="20"/>
        </w:rPr>
        <w:t>.</w:t>
      </w:r>
      <w:r w:rsidR="00561819">
        <w:rPr>
          <w:rFonts w:ascii="Trebuchet MS" w:hAnsi="Trebuchet MS" w:cs="Arial"/>
          <w:color w:val="5F5F5F"/>
          <w:sz w:val="20"/>
          <w:szCs w:val="20"/>
        </w:rPr>
        <w:t>237</w:t>
      </w:r>
      <w:r w:rsidRPr="003B71FA">
        <w:rPr>
          <w:rFonts w:ascii="Trebuchet MS" w:hAnsi="Trebuchet MS" w:cs="Arial"/>
          <w:color w:val="5F5F5F"/>
          <w:sz w:val="20"/>
          <w:szCs w:val="20"/>
        </w:rPr>
        <w:t xml:space="preserve"> abitanti, </w:t>
      </w:r>
      <w:r w:rsidR="00561819">
        <w:rPr>
          <w:rFonts w:ascii="Trebuchet MS" w:hAnsi="Trebuchet MS" w:cs="Arial"/>
          <w:color w:val="5F5F5F"/>
          <w:sz w:val="20"/>
          <w:szCs w:val="20"/>
        </w:rPr>
        <w:t>6</w:t>
      </w:r>
      <w:r w:rsidR="00A82B8A">
        <w:rPr>
          <w:rFonts w:ascii="Trebuchet MS" w:hAnsi="Trebuchet MS" w:cs="Arial"/>
          <w:color w:val="5F5F5F"/>
          <w:sz w:val="20"/>
          <w:szCs w:val="20"/>
        </w:rPr>
        <w:t xml:space="preserve"> </w:t>
      </w:r>
      <w:r w:rsidRPr="003B71FA">
        <w:rPr>
          <w:rFonts w:ascii="Trebuchet MS" w:hAnsi="Trebuchet MS" w:cs="Arial"/>
          <w:color w:val="5F5F5F"/>
          <w:sz w:val="20"/>
          <w:szCs w:val="20"/>
        </w:rPr>
        <w:t xml:space="preserve">mila in meno </w:t>
      </w:r>
      <w:r>
        <w:rPr>
          <w:rFonts w:ascii="Trebuchet MS" w:hAnsi="Trebuchet MS" w:cs="Arial"/>
          <w:color w:val="5F5F5F"/>
          <w:sz w:val="20"/>
          <w:szCs w:val="20"/>
        </w:rPr>
        <w:t>rispetto all’anno precedente</w:t>
      </w:r>
      <w:r w:rsidR="00AA6EE8">
        <w:rPr>
          <w:rFonts w:ascii="Trebuchet MS" w:hAnsi="Trebuchet MS" w:cs="Arial"/>
          <w:color w:val="5F5F5F"/>
          <w:sz w:val="20"/>
          <w:szCs w:val="20"/>
        </w:rPr>
        <w:t>. S</w:t>
      </w:r>
      <w:r w:rsidR="00047DAC">
        <w:rPr>
          <w:rFonts w:ascii="Trebuchet MS" w:hAnsi="Trebuchet MS" w:cs="Arial"/>
          <w:color w:val="5F5F5F"/>
          <w:sz w:val="20"/>
          <w:szCs w:val="20"/>
        </w:rPr>
        <w:t>i</w:t>
      </w:r>
      <w:r w:rsidRPr="003B71FA">
        <w:rPr>
          <w:rFonts w:ascii="Trebuchet MS" w:hAnsi="Trebuchet MS" w:cs="Arial"/>
          <w:color w:val="5F5F5F"/>
          <w:sz w:val="20"/>
          <w:szCs w:val="20"/>
        </w:rPr>
        <w:t xml:space="preserve"> registrano cali di popolazione</w:t>
      </w:r>
      <w:r>
        <w:rPr>
          <w:rFonts w:ascii="Trebuchet MS" w:hAnsi="Trebuchet MS" w:cs="Arial"/>
          <w:color w:val="5F5F5F"/>
          <w:sz w:val="20"/>
          <w:szCs w:val="20"/>
        </w:rPr>
        <w:t xml:space="preserve"> </w:t>
      </w:r>
      <w:r w:rsidR="00AA6EE8">
        <w:rPr>
          <w:rFonts w:ascii="Trebuchet MS" w:hAnsi="Trebuchet MS" w:cs="Arial"/>
          <w:color w:val="5F5F5F"/>
          <w:sz w:val="20"/>
          <w:szCs w:val="20"/>
        </w:rPr>
        <w:t xml:space="preserve">più forti nei comuni Ultraperiferici (-2,3%), seguiti dai comuni </w:t>
      </w:r>
      <w:r w:rsidR="00925D41">
        <w:rPr>
          <w:rFonts w:ascii="Trebuchet MS" w:hAnsi="Trebuchet MS" w:cs="Arial"/>
          <w:color w:val="5F5F5F"/>
          <w:sz w:val="20"/>
          <w:szCs w:val="20"/>
        </w:rPr>
        <w:t>Intermedi (-1,7%) e Periferici (-1,2%).</w:t>
      </w:r>
    </w:p>
    <w:p w14:paraId="6F1F7641" w14:textId="77777777" w:rsidR="00B94469" w:rsidRPr="00047761" w:rsidRDefault="00B94469" w:rsidP="00B94469">
      <w:pPr>
        <w:spacing w:after="120"/>
        <w:jc w:val="both"/>
        <w:rPr>
          <w:rFonts w:ascii="Trebuchet MS" w:hAnsi="Trebuchet MS" w:cs="Arial"/>
          <w:color w:val="5F5F5F"/>
          <w:sz w:val="2"/>
          <w:szCs w:val="2"/>
        </w:rPr>
      </w:pPr>
    </w:p>
    <w:p w14:paraId="2139D582" w14:textId="0CDD72B0" w:rsidR="009A34C5" w:rsidRPr="003B71FA" w:rsidRDefault="009A34C5" w:rsidP="00B94469">
      <w:pPr>
        <w:spacing w:after="120"/>
        <w:jc w:val="both"/>
        <w:rPr>
          <w:rFonts w:ascii="Trebuchet MS" w:hAnsi="Trebuchet MS" w:cs="Arial"/>
          <w:color w:val="5F5F5F"/>
          <w:sz w:val="20"/>
          <w:szCs w:val="20"/>
        </w:rPr>
      </w:pPr>
      <w:r w:rsidRPr="003B71FA">
        <w:rPr>
          <w:rFonts w:ascii="Trebuchet MS" w:hAnsi="Trebuchet MS" w:cs="Arial"/>
          <w:color w:val="5F5F5F"/>
          <w:sz w:val="20"/>
          <w:szCs w:val="20"/>
        </w:rPr>
        <w:t>Gli indicatori socio-demografici evidenziano significative differenze fra Centri e Aree interne</w:t>
      </w:r>
      <w:r w:rsidR="00C236F8">
        <w:rPr>
          <w:rFonts w:ascii="Trebuchet MS" w:hAnsi="Trebuchet MS" w:cs="Arial"/>
          <w:color w:val="5F5F5F"/>
          <w:sz w:val="20"/>
          <w:szCs w:val="20"/>
        </w:rPr>
        <w:t xml:space="preserve"> (Prospetto 13)</w:t>
      </w:r>
      <w:r w:rsidRPr="003B71FA">
        <w:rPr>
          <w:rFonts w:ascii="Trebuchet MS" w:hAnsi="Trebuchet MS" w:cs="Arial"/>
          <w:color w:val="5F5F5F"/>
          <w:sz w:val="20"/>
          <w:szCs w:val="20"/>
        </w:rPr>
        <w:t>:</w:t>
      </w:r>
    </w:p>
    <w:p w14:paraId="7204EAA9" w14:textId="19589013" w:rsidR="009A34C5" w:rsidRPr="00C83137" w:rsidRDefault="009A34C5" w:rsidP="00047761">
      <w:pPr>
        <w:pStyle w:val="Paragrafoelenco"/>
        <w:numPr>
          <w:ilvl w:val="0"/>
          <w:numId w:val="31"/>
        </w:numPr>
        <w:spacing w:after="120" w:line="240" w:lineRule="auto"/>
        <w:ind w:left="425" w:hanging="284"/>
        <w:contextualSpacing w:val="0"/>
        <w:jc w:val="both"/>
        <w:rPr>
          <w:rFonts w:ascii="Trebuchet MS" w:hAnsi="Trebuchet MS" w:cs="Arial"/>
          <w:color w:val="5F5F5F"/>
          <w:sz w:val="20"/>
          <w:szCs w:val="20"/>
        </w:rPr>
      </w:pPr>
      <w:r w:rsidRPr="00C83137">
        <w:rPr>
          <w:rFonts w:ascii="Trebuchet MS" w:hAnsi="Trebuchet MS" w:cs="Arial"/>
          <w:color w:val="5F5F5F"/>
          <w:sz w:val="20"/>
          <w:szCs w:val="20"/>
        </w:rPr>
        <w:t xml:space="preserve">i comuni delle Aree interne presentano livelli di invecchiamento superiori rispetto a quelli dei </w:t>
      </w:r>
      <w:r w:rsidR="00453744">
        <w:rPr>
          <w:rFonts w:ascii="Trebuchet MS" w:hAnsi="Trebuchet MS" w:cs="Arial"/>
          <w:color w:val="5F5F5F"/>
          <w:sz w:val="20"/>
          <w:szCs w:val="20"/>
        </w:rPr>
        <w:t>C</w:t>
      </w:r>
      <w:r w:rsidRPr="00C83137">
        <w:rPr>
          <w:rFonts w:ascii="Trebuchet MS" w:hAnsi="Trebuchet MS" w:cs="Arial"/>
          <w:color w:val="5F5F5F"/>
          <w:sz w:val="20"/>
          <w:szCs w:val="20"/>
        </w:rPr>
        <w:t>entri:</w:t>
      </w:r>
      <w:r w:rsidR="00C83137">
        <w:rPr>
          <w:rFonts w:ascii="Trebuchet MS" w:hAnsi="Trebuchet MS" w:cs="Arial"/>
          <w:color w:val="5F5F5F"/>
          <w:sz w:val="20"/>
          <w:szCs w:val="20"/>
        </w:rPr>
        <w:t xml:space="preserve"> </w:t>
      </w:r>
      <w:r w:rsidRPr="00C83137">
        <w:rPr>
          <w:rFonts w:ascii="Trebuchet MS" w:hAnsi="Trebuchet MS" w:cs="Arial"/>
          <w:color w:val="5F5F5F"/>
          <w:sz w:val="20"/>
          <w:szCs w:val="20"/>
        </w:rPr>
        <w:t>l’età media è 4</w:t>
      </w:r>
      <w:r w:rsidR="00925D41">
        <w:rPr>
          <w:rFonts w:ascii="Trebuchet MS" w:hAnsi="Trebuchet MS" w:cs="Arial"/>
          <w:color w:val="5F5F5F"/>
          <w:sz w:val="20"/>
          <w:szCs w:val="20"/>
        </w:rPr>
        <w:t>6</w:t>
      </w:r>
      <w:r w:rsidRPr="00C83137">
        <w:rPr>
          <w:rFonts w:ascii="Trebuchet MS" w:hAnsi="Trebuchet MS" w:cs="Arial"/>
          <w:color w:val="5F5F5F"/>
          <w:sz w:val="20"/>
          <w:szCs w:val="20"/>
        </w:rPr>
        <w:t>,</w:t>
      </w:r>
      <w:r w:rsidR="00925D41">
        <w:rPr>
          <w:rFonts w:ascii="Trebuchet MS" w:hAnsi="Trebuchet MS" w:cs="Arial"/>
          <w:color w:val="5F5F5F"/>
          <w:sz w:val="20"/>
          <w:szCs w:val="20"/>
        </w:rPr>
        <w:t>2</w:t>
      </w:r>
      <w:r w:rsidRPr="00C83137">
        <w:rPr>
          <w:rFonts w:ascii="Trebuchet MS" w:hAnsi="Trebuchet MS" w:cs="Arial"/>
          <w:color w:val="5F5F5F"/>
          <w:sz w:val="20"/>
          <w:szCs w:val="20"/>
        </w:rPr>
        <w:t xml:space="preserve"> anni</w:t>
      </w:r>
      <w:r w:rsidR="00CF29F0" w:rsidRPr="00C83137">
        <w:rPr>
          <w:rFonts w:ascii="Trebuchet MS" w:hAnsi="Trebuchet MS" w:cs="Arial"/>
          <w:color w:val="5F5F5F"/>
          <w:sz w:val="20"/>
          <w:szCs w:val="20"/>
        </w:rPr>
        <w:t xml:space="preserve"> contro 4</w:t>
      </w:r>
      <w:r w:rsidR="00925D41">
        <w:rPr>
          <w:rFonts w:ascii="Trebuchet MS" w:hAnsi="Trebuchet MS" w:cs="Arial"/>
          <w:color w:val="5F5F5F"/>
          <w:sz w:val="20"/>
          <w:szCs w:val="20"/>
        </w:rPr>
        <w:t>5</w:t>
      </w:r>
      <w:r w:rsidR="00CF29F0" w:rsidRPr="00C83137">
        <w:rPr>
          <w:rFonts w:ascii="Trebuchet MS" w:hAnsi="Trebuchet MS" w:cs="Arial"/>
          <w:color w:val="5F5F5F"/>
          <w:sz w:val="20"/>
          <w:szCs w:val="20"/>
        </w:rPr>
        <w:t>,</w:t>
      </w:r>
      <w:r w:rsidR="00925D41">
        <w:rPr>
          <w:rFonts w:ascii="Trebuchet MS" w:hAnsi="Trebuchet MS" w:cs="Arial"/>
          <w:color w:val="5F5F5F"/>
          <w:sz w:val="20"/>
          <w:szCs w:val="20"/>
        </w:rPr>
        <w:t>4</w:t>
      </w:r>
      <w:r w:rsidR="00CF29F0" w:rsidRPr="00C83137">
        <w:rPr>
          <w:rFonts w:ascii="Trebuchet MS" w:hAnsi="Trebuchet MS" w:cs="Arial"/>
          <w:color w:val="5F5F5F"/>
          <w:sz w:val="20"/>
          <w:szCs w:val="20"/>
        </w:rPr>
        <w:t xml:space="preserve"> anni</w:t>
      </w:r>
      <w:r w:rsidRPr="00C83137">
        <w:rPr>
          <w:rFonts w:ascii="Trebuchet MS" w:hAnsi="Trebuchet MS" w:cs="Arial"/>
          <w:color w:val="5F5F5F"/>
          <w:sz w:val="20"/>
          <w:szCs w:val="20"/>
        </w:rPr>
        <w:t xml:space="preserve"> (4</w:t>
      </w:r>
      <w:r w:rsidR="00925D41">
        <w:rPr>
          <w:rFonts w:ascii="Trebuchet MS" w:hAnsi="Trebuchet MS" w:cs="Arial"/>
          <w:color w:val="5F5F5F"/>
          <w:sz w:val="20"/>
          <w:szCs w:val="20"/>
        </w:rPr>
        <w:t>7</w:t>
      </w:r>
      <w:r w:rsidRPr="00C83137">
        <w:rPr>
          <w:rFonts w:ascii="Trebuchet MS" w:hAnsi="Trebuchet MS" w:cs="Arial"/>
          <w:color w:val="5F5F5F"/>
          <w:sz w:val="20"/>
          <w:szCs w:val="20"/>
        </w:rPr>
        <w:t>,</w:t>
      </w:r>
      <w:r w:rsidR="00925D41">
        <w:rPr>
          <w:rFonts w:ascii="Trebuchet MS" w:hAnsi="Trebuchet MS" w:cs="Arial"/>
          <w:color w:val="5F5F5F"/>
          <w:sz w:val="20"/>
          <w:szCs w:val="20"/>
        </w:rPr>
        <w:t>5</w:t>
      </w:r>
      <w:r w:rsidRPr="00C83137">
        <w:rPr>
          <w:rFonts w:ascii="Trebuchet MS" w:hAnsi="Trebuchet MS" w:cs="Arial"/>
          <w:color w:val="5F5F5F"/>
          <w:sz w:val="20"/>
          <w:szCs w:val="20"/>
        </w:rPr>
        <w:t xml:space="preserve"> in quelli </w:t>
      </w:r>
      <w:r w:rsidR="00925D41">
        <w:rPr>
          <w:rFonts w:ascii="Trebuchet MS" w:hAnsi="Trebuchet MS" w:cs="Arial"/>
          <w:color w:val="5F5F5F"/>
          <w:sz w:val="20"/>
          <w:szCs w:val="20"/>
        </w:rPr>
        <w:t>Ultrap</w:t>
      </w:r>
      <w:r w:rsidRPr="00C83137">
        <w:rPr>
          <w:rFonts w:ascii="Trebuchet MS" w:hAnsi="Trebuchet MS" w:cs="Arial"/>
          <w:color w:val="5F5F5F"/>
          <w:sz w:val="20"/>
          <w:szCs w:val="20"/>
        </w:rPr>
        <w:t>eriferici)</w:t>
      </w:r>
      <w:r w:rsidR="00453744">
        <w:rPr>
          <w:rFonts w:ascii="Trebuchet MS" w:hAnsi="Trebuchet MS" w:cs="Arial"/>
          <w:color w:val="5F5F5F"/>
          <w:sz w:val="20"/>
          <w:szCs w:val="20"/>
        </w:rPr>
        <w:t>;</w:t>
      </w:r>
      <w:r w:rsidRPr="00C83137">
        <w:rPr>
          <w:rFonts w:ascii="Trebuchet MS" w:hAnsi="Trebuchet MS" w:cs="Arial"/>
          <w:color w:val="5F5F5F"/>
          <w:sz w:val="20"/>
          <w:szCs w:val="20"/>
        </w:rPr>
        <w:t xml:space="preserve"> </w:t>
      </w:r>
      <w:r w:rsidR="00CF29F0" w:rsidRPr="00C83137">
        <w:rPr>
          <w:rFonts w:ascii="Trebuchet MS" w:hAnsi="Trebuchet MS" w:cs="Arial"/>
          <w:color w:val="5F5F5F"/>
          <w:sz w:val="20"/>
          <w:szCs w:val="20"/>
        </w:rPr>
        <w:t>l</w:t>
      </w:r>
      <w:r w:rsidRPr="00C83137">
        <w:rPr>
          <w:rFonts w:ascii="Trebuchet MS" w:hAnsi="Trebuchet MS" w:cs="Arial"/>
          <w:color w:val="5F5F5F"/>
          <w:sz w:val="20"/>
          <w:szCs w:val="20"/>
        </w:rPr>
        <w:t>’indice di vecchiaia è pari a 2</w:t>
      </w:r>
      <w:r w:rsidR="00925D41">
        <w:rPr>
          <w:rFonts w:ascii="Trebuchet MS" w:hAnsi="Trebuchet MS" w:cs="Arial"/>
          <w:color w:val="5F5F5F"/>
          <w:sz w:val="20"/>
          <w:szCs w:val="20"/>
        </w:rPr>
        <w:t>15</w:t>
      </w:r>
      <w:r w:rsidRPr="00C83137">
        <w:rPr>
          <w:rFonts w:ascii="Trebuchet MS" w:hAnsi="Trebuchet MS" w:cs="Arial"/>
          <w:color w:val="5F5F5F"/>
          <w:sz w:val="20"/>
          <w:szCs w:val="20"/>
        </w:rPr>
        <w:t>,</w:t>
      </w:r>
      <w:r w:rsidR="00925D41">
        <w:rPr>
          <w:rFonts w:ascii="Trebuchet MS" w:hAnsi="Trebuchet MS" w:cs="Arial"/>
          <w:color w:val="5F5F5F"/>
          <w:sz w:val="20"/>
          <w:szCs w:val="20"/>
        </w:rPr>
        <w:t>0</w:t>
      </w:r>
      <w:r w:rsidRPr="00C83137">
        <w:rPr>
          <w:rFonts w:ascii="Trebuchet MS" w:hAnsi="Trebuchet MS" w:cs="Arial"/>
          <w:color w:val="5F5F5F"/>
          <w:sz w:val="20"/>
          <w:szCs w:val="20"/>
        </w:rPr>
        <w:t xml:space="preserve"> contro </w:t>
      </w:r>
      <w:r w:rsidR="00925D41">
        <w:rPr>
          <w:rFonts w:ascii="Trebuchet MS" w:hAnsi="Trebuchet MS" w:cs="Arial"/>
          <w:color w:val="5F5F5F"/>
          <w:sz w:val="20"/>
          <w:szCs w:val="20"/>
        </w:rPr>
        <w:t>185</w:t>
      </w:r>
      <w:r w:rsidRPr="00C83137">
        <w:rPr>
          <w:rFonts w:ascii="Trebuchet MS" w:hAnsi="Trebuchet MS" w:cs="Arial"/>
          <w:color w:val="5F5F5F"/>
          <w:sz w:val="20"/>
          <w:szCs w:val="20"/>
        </w:rPr>
        <w:t>,</w:t>
      </w:r>
      <w:r w:rsidR="00925D41">
        <w:rPr>
          <w:rFonts w:ascii="Trebuchet MS" w:hAnsi="Trebuchet MS" w:cs="Arial"/>
          <w:color w:val="5F5F5F"/>
          <w:sz w:val="20"/>
          <w:szCs w:val="20"/>
        </w:rPr>
        <w:t>4</w:t>
      </w:r>
      <w:r w:rsidRPr="00C83137">
        <w:rPr>
          <w:rFonts w:ascii="Trebuchet MS" w:hAnsi="Trebuchet MS" w:cs="Arial"/>
          <w:color w:val="5F5F5F"/>
          <w:sz w:val="20"/>
          <w:szCs w:val="20"/>
        </w:rPr>
        <w:t xml:space="preserve">; l’indice di struttura della popolazione attiva dei comuni delle Aree interne </w:t>
      </w:r>
      <w:r w:rsidR="00CF29F0" w:rsidRPr="00C83137">
        <w:rPr>
          <w:rFonts w:ascii="Trebuchet MS" w:hAnsi="Trebuchet MS" w:cs="Arial"/>
          <w:color w:val="5F5F5F"/>
          <w:sz w:val="20"/>
          <w:szCs w:val="20"/>
        </w:rPr>
        <w:t xml:space="preserve">è </w:t>
      </w:r>
      <w:r w:rsidRPr="00C83137">
        <w:rPr>
          <w:rFonts w:ascii="Trebuchet MS" w:hAnsi="Trebuchet MS" w:cs="Arial"/>
          <w:color w:val="5F5F5F"/>
          <w:sz w:val="20"/>
          <w:szCs w:val="20"/>
        </w:rPr>
        <w:t>1</w:t>
      </w:r>
      <w:r w:rsidR="00A37276">
        <w:rPr>
          <w:rFonts w:ascii="Trebuchet MS" w:hAnsi="Trebuchet MS" w:cs="Arial"/>
          <w:color w:val="5F5F5F"/>
          <w:sz w:val="20"/>
          <w:szCs w:val="20"/>
        </w:rPr>
        <w:t>33</w:t>
      </w:r>
      <w:r w:rsidRPr="00C83137">
        <w:rPr>
          <w:rFonts w:ascii="Trebuchet MS" w:hAnsi="Trebuchet MS" w:cs="Arial"/>
          <w:color w:val="5F5F5F"/>
          <w:sz w:val="20"/>
          <w:szCs w:val="20"/>
        </w:rPr>
        <w:t>,</w:t>
      </w:r>
      <w:r w:rsidR="00A37276">
        <w:rPr>
          <w:rFonts w:ascii="Trebuchet MS" w:hAnsi="Trebuchet MS" w:cs="Arial"/>
          <w:color w:val="5F5F5F"/>
          <w:sz w:val="20"/>
          <w:szCs w:val="20"/>
        </w:rPr>
        <w:t>7</w:t>
      </w:r>
      <w:r w:rsidR="00CF29F0" w:rsidRPr="00C83137">
        <w:rPr>
          <w:rFonts w:ascii="Trebuchet MS" w:hAnsi="Trebuchet MS" w:cs="Arial"/>
          <w:color w:val="5F5F5F"/>
          <w:sz w:val="20"/>
          <w:szCs w:val="20"/>
        </w:rPr>
        <w:t xml:space="preserve"> contro </w:t>
      </w:r>
      <w:r w:rsidRPr="00C83137">
        <w:rPr>
          <w:rFonts w:ascii="Trebuchet MS" w:hAnsi="Trebuchet MS" w:cs="Arial"/>
          <w:color w:val="5F5F5F"/>
          <w:sz w:val="20"/>
          <w:szCs w:val="20"/>
        </w:rPr>
        <w:t>1</w:t>
      </w:r>
      <w:r w:rsidR="00A37276">
        <w:rPr>
          <w:rFonts w:ascii="Trebuchet MS" w:hAnsi="Trebuchet MS" w:cs="Arial"/>
          <w:color w:val="5F5F5F"/>
          <w:sz w:val="20"/>
          <w:szCs w:val="20"/>
        </w:rPr>
        <w:t>4</w:t>
      </w:r>
      <w:r w:rsidRPr="00C83137">
        <w:rPr>
          <w:rFonts w:ascii="Trebuchet MS" w:hAnsi="Trebuchet MS" w:cs="Arial"/>
          <w:color w:val="5F5F5F"/>
          <w:sz w:val="20"/>
          <w:szCs w:val="20"/>
        </w:rPr>
        <w:t>1,</w:t>
      </w:r>
      <w:r w:rsidR="00A37276">
        <w:rPr>
          <w:rFonts w:ascii="Trebuchet MS" w:hAnsi="Trebuchet MS" w:cs="Arial"/>
          <w:color w:val="5F5F5F"/>
          <w:sz w:val="20"/>
          <w:szCs w:val="20"/>
        </w:rPr>
        <w:t>4</w:t>
      </w:r>
      <w:r w:rsidRPr="00C83137">
        <w:rPr>
          <w:rFonts w:ascii="Trebuchet MS" w:hAnsi="Trebuchet MS" w:cs="Arial"/>
          <w:color w:val="5F5F5F"/>
          <w:sz w:val="20"/>
          <w:szCs w:val="20"/>
        </w:rPr>
        <w:t>;</w:t>
      </w:r>
    </w:p>
    <w:p w14:paraId="2C1C1DDF" w14:textId="50462E6F" w:rsidR="009A34C5" w:rsidRPr="003E2824" w:rsidRDefault="009A34C5" w:rsidP="00B94469">
      <w:pPr>
        <w:pStyle w:val="Paragrafoelenco"/>
        <w:numPr>
          <w:ilvl w:val="0"/>
          <w:numId w:val="31"/>
        </w:numPr>
        <w:spacing w:after="120" w:line="240" w:lineRule="auto"/>
        <w:ind w:left="426" w:hanging="284"/>
        <w:contextualSpacing w:val="0"/>
        <w:jc w:val="both"/>
        <w:rPr>
          <w:rFonts w:ascii="Trebuchet MS" w:hAnsi="Trebuchet MS" w:cs="Arial"/>
          <w:color w:val="5F5F5F"/>
          <w:sz w:val="20"/>
          <w:szCs w:val="20"/>
        </w:rPr>
      </w:pPr>
      <w:r w:rsidRPr="003B71FA">
        <w:rPr>
          <w:rFonts w:ascii="Trebuchet MS" w:hAnsi="Trebuchet MS" w:cs="Arial"/>
          <w:color w:val="5F5F5F"/>
          <w:sz w:val="20"/>
          <w:szCs w:val="20"/>
        </w:rPr>
        <w:t xml:space="preserve">nei Centri la percentuale di residenti di 9 anni e più che hanno conseguito il diploma di scuola secondaria di II grado è </w:t>
      </w:r>
      <w:r w:rsidR="00A37276">
        <w:rPr>
          <w:rFonts w:ascii="Trebuchet MS" w:hAnsi="Trebuchet MS" w:cs="Arial"/>
          <w:color w:val="5F5F5F"/>
          <w:sz w:val="20"/>
          <w:szCs w:val="20"/>
        </w:rPr>
        <w:t>sensibilmente più alta rispetto alle Aree interne</w:t>
      </w:r>
      <w:r w:rsidRPr="003B71FA">
        <w:rPr>
          <w:rFonts w:ascii="Trebuchet MS" w:hAnsi="Trebuchet MS" w:cs="Arial"/>
          <w:color w:val="5F5F5F"/>
          <w:sz w:val="20"/>
          <w:szCs w:val="20"/>
        </w:rPr>
        <w:t xml:space="preserve"> (</w:t>
      </w:r>
      <w:r>
        <w:rPr>
          <w:rFonts w:ascii="Trebuchet MS" w:hAnsi="Trebuchet MS" w:cs="Arial"/>
          <w:color w:val="5F5F5F"/>
          <w:sz w:val="20"/>
          <w:szCs w:val="20"/>
        </w:rPr>
        <w:t xml:space="preserve">35% </w:t>
      </w:r>
      <w:r w:rsidRPr="003B71FA">
        <w:rPr>
          <w:rFonts w:ascii="Trebuchet MS" w:hAnsi="Trebuchet MS" w:cs="Arial"/>
          <w:color w:val="5F5F5F"/>
          <w:sz w:val="20"/>
          <w:szCs w:val="20"/>
        </w:rPr>
        <w:t>nelle Aree interne</w:t>
      </w:r>
      <w:r>
        <w:rPr>
          <w:rFonts w:ascii="Trebuchet MS" w:hAnsi="Trebuchet MS" w:cs="Arial"/>
          <w:color w:val="5F5F5F"/>
          <w:sz w:val="20"/>
          <w:szCs w:val="20"/>
        </w:rPr>
        <w:t xml:space="preserve"> e 3</w:t>
      </w:r>
      <w:r w:rsidR="00A37276">
        <w:rPr>
          <w:rFonts w:ascii="Trebuchet MS" w:hAnsi="Trebuchet MS" w:cs="Arial"/>
          <w:color w:val="5F5F5F"/>
          <w:sz w:val="20"/>
          <w:szCs w:val="20"/>
        </w:rPr>
        <w:t>8</w:t>
      </w:r>
      <w:r>
        <w:rPr>
          <w:rFonts w:ascii="Trebuchet MS" w:hAnsi="Trebuchet MS" w:cs="Arial"/>
          <w:color w:val="5F5F5F"/>
          <w:sz w:val="20"/>
          <w:szCs w:val="20"/>
        </w:rPr>
        <w:t>,</w:t>
      </w:r>
      <w:r w:rsidR="00A37276">
        <w:rPr>
          <w:rFonts w:ascii="Trebuchet MS" w:hAnsi="Trebuchet MS" w:cs="Arial"/>
          <w:color w:val="5F5F5F"/>
          <w:sz w:val="20"/>
          <w:szCs w:val="20"/>
        </w:rPr>
        <w:t>5</w:t>
      </w:r>
      <w:r>
        <w:rPr>
          <w:rFonts w:ascii="Trebuchet MS" w:hAnsi="Trebuchet MS" w:cs="Arial"/>
          <w:color w:val="5F5F5F"/>
          <w:sz w:val="20"/>
          <w:szCs w:val="20"/>
        </w:rPr>
        <w:t>% nei Centri). L</w:t>
      </w:r>
      <w:r w:rsidRPr="003B71FA">
        <w:rPr>
          <w:rFonts w:ascii="Trebuchet MS" w:hAnsi="Trebuchet MS" w:cs="Arial"/>
          <w:color w:val="5F5F5F"/>
          <w:sz w:val="20"/>
          <w:szCs w:val="20"/>
        </w:rPr>
        <w:t>a quota di residenti in posses</w:t>
      </w:r>
      <w:r>
        <w:rPr>
          <w:rFonts w:ascii="Trebuchet MS" w:hAnsi="Trebuchet MS" w:cs="Arial"/>
          <w:color w:val="5F5F5F"/>
          <w:sz w:val="20"/>
          <w:szCs w:val="20"/>
        </w:rPr>
        <w:t>s</w:t>
      </w:r>
      <w:r w:rsidRPr="003B71FA">
        <w:rPr>
          <w:rFonts w:ascii="Trebuchet MS" w:hAnsi="Trebuchet MS" w:cs="Arial"/>
          <w:color w:val="5F5F5F"/>
          <w:sz w:val="20"/>
          <w:szCs w:val="20"/>
        </w:rPr>
        <w:t>o di un titolo di studio terziario è</w:t>
      </w:r>
      <w:r>
        <w:rPr>
          <w:rFonts w:ascii="Trebuchet MS" w:hAnsi="Trebuchet MS" w:cs="Arial"/>
          <w:color w:val="5F5F5F"/>
          <w:sz w:val="20"/>
          <w:szCs w:val="20"/>
        </w:rPr>
        <w:t xml:space="preserve"> </w:t>
      </w:r>
      <w:r w:rsidR="00A37276">
        <w:rPr>
          <w:rFonts w:ascii="Trebuchet MS" w:hAnsi="Trebuchet MS" w:cs="Arial"/>
          <w:color w:val="5F5F5F"/>
          <w:sz w:val="20"/>
          <w:szCs w:val="20"/>
        </w:rPr>
        <w:t xml:space="preserve">di 2 punti percentuali </w:t>
      </w:r>
      <w:r w:rsidRPr="003B71FA">
        <w:rPr>
          <w:rFonts w:ascii="Trebuchet MS" w:hAnsi="Trebuchet MS" w:cs="Arial"/>
          <w:color w:val="5F5F5F"/>
          <w:sz w:val="20"/>
          <w:szCs w:val="20"/>
        </w:rPr>
        <w:t xml:space="preserve">inferiore alla media regionale </w:t>
      </w:r>
      <w:r>
        <w:rPr>
          <w:rFonts w:ascii="Trebuchet MS" w:hAnsi="Trebuchet MS" w:cs="Arial"/>
          <w:color w:val="5F5F5F"/>
          <w:sz w:val="20"/>
          <w:szCs w:val="20"/>
        </w:rPr>
        <w:t xml:space="preserve">nelle </w:t>
      </w:r>
      <w:r w:rsidR="0054574C">
        <w:rPr>
          <w:rFonts w:ascii="Trebuchet MS" w:hAnsi="Trebuchet MS" w:cs="Arial"/>
          <w:color w:val="5F5F5F"/>
          <w:sz w:val="20"/>
          <w:szCs w:val="20"/>
        </w:rPr>
        <w:t>A</w:t>
      </w:r>
      <w:r>
        <w:rPr>
          <w:rFonts w:ascii="Trebuchet MS" w:hAnsi="Trebuchet MS" w:cs="Arial"/>
          <w:color w:val="5F5F5F"/>
          <w:sz w:val="20"/>
          <w:szCs w:val="20"/>
        </w:rPr>
        <w:t>ree interne (1</w:t>
      </w:r>
      <w:r w:rsidR="00864207">
        <w:rPr>
          <w:rFonts w:ascii="Trebuchet MS" w:hAnsi="Trebuchet MS" w:cs="Arial"/>
          <w:color w:val="5F5F5F"/>
          <w:sz w:val="20"/>
          <w:szCs w:val="20"/>
        </w:rPr>
        <w:t>2,</w:t>
      </w:r>
      <w:r>
        <w:rPr>
          <w:rFonts w:ascii="Trebuchet MS" w:hAnsi="Trebuchet MS" w:cs="Arial"/>
          <w:color w:val="5F5F5F"/>
          <w:sz w:val="20"/>
          <w:szCs w:val="20"/>
        </w:rPr>
        <w:t>1</w:t>
      </w:r>
      <w:r w:rsidR="00864207">
        <w:rPr>
          <w:rFonts w:ascii="Trebuchet MS" w:hAnsi="Trebuchet MS" w:cs="Arial"/>
          <w:color w:val="5F5F5F"/>
          <w:sz w:val="20"/>
          <w:szCs w:val="20"/>
        </w:rPr>
        <w:t xml:space="preserve">%) e significativamente più bassa rispetto ai </w:t>
      </w:r>
      <w:r w:rsidR="00864207" w:rsidRPr="003E2824">
        <w:rPr>
          <w:rFonts w:ascii="Trebuchet MS" w:hAnsi="Trebuchet MS" w:cs="Arial"/>
          <w:color w:val="5F5F5F"/>
          <w:sz w:val="20"/>
          <w:szCs w:val="20"/>
        </w:rPr>
        <w:t>Centri (19,6</w:t>
      </w:r>
      <w:r w:rsidRPr="003E2824">
        <w:rPr>
          <w:rFonts w:ascii="Trebuchet MS" w:hAnsi="Trebuchet MS" w:cs="Arial"/>
          <w:color w:val="5F5F5F"/>
          <w:sz w:val="20"/>
          <w:szCs w:val="20"/>
        </w:rPr>
        <w:t>%);</w:t>
      </w:r>
    </w:p>
    <w:p w14:paraId="5F5C3832" w14:textId="5810C2BA" w:rsidR="009A34C5" w:rsidRPr="003E2824" w:rsidRDefault="001B5D22" w:rsidP="00047761">
      <w:pPr>
        <w:pStyle w:val="Paragrafoelenco"/>
        <w:numPr>
          <w:ilvl w:val="0"/>
          <w:numId w:val="31"/>
        </w:numPr>
        <w:spacing w:after="120" w:line="240" w:lineRule="auto"/>
        <w:ind w:left="426" w:hanging="284"/>
        <w:contextualSpacing w:val="0"/>
        <w:jc w:val="both"/>
        <w:rPr>
          <w:rFonts w:ascii="Trebuchet MS" w:hAnsi="Trebuchet MS" w:cs="Arial"/>
          <w:color w:val="5F5F5F"/>
          <w:sz w:val="20"/>
          <w:szCs w:val="20"/>
        </w:rPr>
      </w:pPr>
      <w:r w:rsidRPr="003E2824">
        <w:rPr>
          <w:rFonts w:ascii="Trebuchet MS" w:hAnsi="Trebuchet MS" w:cs="Arial"/>
          <w:color w:val="5F5F5F"/>
          <w:sz w:val="20"/>
          <w:szCs w:val="20"/>
        </w:rPr>
        <w:t>minore</w:t>
      </w:r>
      <w:r w:rsidR="00CF29F0" w:rsidRPr="003E2824">
        <w:rPr>
          <w:rFonts w:ascii="Trebuchet MS" w:hAnsi="Trebuchet MS" w:cs="Arial"/>
          <w:color w:val="5F5F5F"/>
          <w:sz w:val="20"/>
          <w:szCs w:val="20"/>
        </w:rPr>
        <w:t xml:space="preserve"> </w:t>
      </w:r>
      <w:r w:rsidR="009A34C5" w:rsidRPr="003E2824">
        <w:rPr>
          <w:rFonts w:ascii="Trebuchet MS" w:hAnsi="Trebuchet MS" w:cs="Arial"/>
          <w:color w:val="5F5F5F"/>
          <w:sz w:val="20"/>
          <w:szCs w:val="20"/>
        </w:rPr>
        <w:t>mobilità per studio o lavoro nelle Aree interne</w:t>
      </w:r>
      <w:r w:rsidR="00CF29F0" w:rsidRPr="003E2824">
        <w:rPr>
          <w:rFonts w:ascii="Trebuchet MS" w:hAnsi="Trebuchet MS" w:cs="Arial"/>
          <w:color w:val="5F5F5F"/>
          <w:sz w:val="20"/>
          <w:szCs w:val="20"/>
        </w:rPr>
        <w:t>. I</w:t>
      </w:r>
      <w:r w:rsidR="009A34C5" w:rsidRPr="003E2824">
        <w:rPr>
          <w:rFonts w:ascii="Trebuchet MS" w:hAnsi="Trebuchet MS" w:cs="Arial"/>
          <w:color w:val="5F5F5F"/>
          <w:sz w:val="20"/>
          <w:szCs w:val="20"/>
        </w:rPr>
        <w:t xml:space="preserve">l </w:t>
      </w:r>
      <w:r w:rsidRPr="003E2824">
        <w:rPr>
          <w:rFonts w:ascii="Trebuchet MS" w:hAnsi="Trebuchet MS" w:cs="Arial"/>
          <w:color w:val="5F5F5F"/>
          <w:sz w:val="20"/>
          <w:szCs w:val="20"/>
        </w:rPr>
        <w:t>42</w:t>
      </w:r>
      <w:r w:rsidR="009A34C5" w:rsidRPr="003E2824">
        <w:rPr>
          <w:rFonts w:ascii="Trebuchet MS" w:hAnsi="Trebuchet MS" w:cs="Arial"/>
          <w:color w:val="5F5F5F"/>
          <w:sz w:val="20"/>
          <w:szCs w:val="20"/>
        </w:rPr>
        <w:t>,</w:t>
      </w:r>
      <w:r w:rsidRPr="003E2824">
        <w:rPr>
          <w:rFonts w:ascii="Trebuchet MS" w:hAnsi="Trebuchet MS" w:cs="Arial"/>
          <w:color w:val="5F5F5F"/>
          <w:sz w:val="20"/>
          <w:szCs w:val="20"/>
        </w:rPr>
        <w:t>3</w:t>
      </w:r>
      <w:r w:rsidR="009A34C5" w:rsidRPr="003E2824">
        <w:rPr>
          <w:rFonts w:ascii="Trebuchet MS" w:hAnsi="Trebuchet MS" w:cs="Arial"/>
          <w:color w:val="5F5F5F"/>
          <w:sz w:val="20"/>
          <w:szCs w:val="20"/>
        </w:rPr>
        <w:t xml:space="preserve">% della popolazione si sposta quotidianamente per studio o lavoro contro il </w:t>
      </w:r>
      <w:r w:rsidRPr="003E2824">
        <w:rPr>
          <w:rFonts w:ascii="Trebuchet MS" w:hAnsi="Trebuchet MS" w:cs="Arial"/>
          <w:color w:val="5F5F5F"/>
          <w:sz w:val="20"/>
          <w:szCs w:val="20"/>
        </w:rPr>
        <w:t>50</w:t>
      </w:r>
      <w:r w:rsidR="009A34C5" w:rsidRPr="003E2824">
        <w:rPr>
          <w:rFonts w:ascii="Trebuchet MS" w:hAnsi="Trebuchet MS" w:cs="Arial"/>
          <w:color w:val="5F5F5F"/>
          <w:sz w:val="20"/>
          <w:szCs w:val="20"/>
        </w:rPr>
        <w:t xml:space="preserve">% dei </w:t>
      </w:r>
      <w:r w:rsidR="00E05FB0" w:rsidRPr="003E2824">
        <w:rPr>
          <w:rFonts w:ascii="Trebuchet MS" w:hAnsi="Trebuchet MS" w:cs="Arial"/>
          <w:color w:val="5F5F5F"/>
          <w:sz w:val="20"/>
          <w:szCs w:val="20"/>
        </w:rPr>
        <w:t xml:space="preserve">Centri </w:t>
      </w:r>
      <w:r w:rsidR="009A34C5" w:rsidRPr="003E2824">
        <w:rPr>
          <w:rFonts w:ascii="Trebuchet MS" w:hAnsi="Trebuchet MS" w:cs="Arial"/>
          <w:color w:val="5F5F5F"/>
          <w:sz w:val="20"/>
          <w:szCs w:val="20"/>
        </w:rPr>
        <w:t xml:space="preserve">(la maggiore mobilità è registrata nei comuni </w:t>
      </w:r>
      <w:r w:rsidRPr="003E2824">
        <w:rPr>
          <w:rFonts w:ascii="Trebuchet MS" w:hAnsi="Trebuchet MS" w:cs="Arial"/>
          <w:color w:val="5F5F5F"/>
          <w:sz w:val="20"/>
          <w:szCs w:val="20"/>
        </w:rPr>
        <w:t>Polo</w:t>
      </w:r>
      <w:r w:rsidR="00CF29F0" w:rsidRPr="003E2824">
        <w:rPr>
          <w:rFonts w:ascii="Trebuchet MS" w:hAnsi="Trebuchet MS" w:cs="Arial"/>
          <w:color w:val="5F5F5F"/>
          <w:sz w:val="20"/>
          <w:szCs w:val="20"/>
        </w:rPr>
        <w:t>,</w:t>
      </w:r>
      <w:r w:rsidR="00E05FB0" w:rsidRPr="003E2824">
        <w:rPr>
          <w:rFonts w:ascii="Trebuchet MS" w:hAnsi="Trebuchet MS" w:cs="Arial"/>
          <w:color w:val="5F5F5F"/>
          <w:sz w:val="20"/>
          <w:szCs w:val="20"/>
        </w:rPr>
        <w:t xml:space="preserve"> </w:t>
      </w:r>
      <w:r w:rsidR="009A34C5" w:rsidRPr="003E2824">
        <w:rPr>
          <w:rFonts w:ascii="Trebuchet MS" w:hAnsi="Trebuchet MS" w:cs="Arial"/>
          <w:color w:val="5F5F5F"/>
          <w:sz w:val="20"/>
          <w:szCs w:val="20"/>
        </w:rPr>
        <w:t>5</w:t>
      </w:r>
      <w:r w:rsidRPr="003E2824">
        <w:rPr>
          <w:rFonts w:ascii="Trebuchet MS" w:hAnsi="Trebuchet MS" w:cs="Arial"/>
          <w:color w:val="5F5F5F"/>
          <w:sz w:val="20"/>
          <w:szCs w:val="20"/>
        </w:rPr>
        <w:t>0</w:t>
      </w:r>
      <w:r w:rsidR="009A34C5" w:rsidRPr="003E2824">
        <w:rPr>
          <w:rFonts w:ascii="Trebuchet MS" w:hAnsi="Trebuchet MS" w:cs="Arial"/>
          <w:color w:val="5F5F5F"/>
          <w:sz w:val="20"/>
          <w:szCs w:val="20"/>
        </w:rPr>
        <w:t>,</w:t>
      </w:r>
      <w:r w:rsidR="00D03A19" w:rsidRPr="003E2824">
        <w:rPr>
          <w:rFonts w:ascii="Trebuchet MS" w:hAnsi="Trebuchet MS" w:cs="Arial"/>
          <w:color w:val="5F5F5F"/>
          <w:sz w:val="20"/>
          <w:szCs w:val="20"/>
        </w:rPr>
        <w:t>3</w:t>
      </w:r>
      <w:r w:rsidR="009A34C5" w:rsidRPr="003E2824">
        <w:rPr>
          <w:rFonts w:ascii="Trebuchet MS" w:hAnsi="Trebuchet MS" w:cs="Arial"/>
          <w:color w:val="5F5F5F"/>
          <w:sz w:val="20"/>
          <w:szCs w:val="20"/>
        </w:rPr>
        <w:t>%). La geografia degli spostamenti è molto differente a seconda del luogo di destinazione</w:t>
      </w:r>
      <w:r w:rsidR="00453744" w:rsidRPr="003E2824">
        <w:rPr>
          <w:rFonts w:ascii="Trebuchet MS" w:hAnsi="Trebuchet MS" w:cs="Arial"/>
          <w:color w:val="5F5F5F"/>
          <w:sz w:val="20"/>
          <w:szCs w:val="20"/>
        </w:rPr>
        <w:t>:</w:t>
      </w:r>
      <w:r w:rsidR="009A34C5" w:rsidRPr="003E2824">
        <w:rPr>
          <w:rFonts w:ascii="Trebuchet MS" w:hAnsi="Trebuchet MS" w:cs="Arial"/>
          <w:color w:val="5F5F5F"/>
          <w:sz w:val="20"/>
          <w:szCs w:val="20"/>
        </w:rPr>
        <w:t xml:space="preserve"> su 100 spostamenti nelle Aree interne </w:t>
      </w:r>
      <w:r w:rsidRPr="003E2824">
        <w:rPr>
          <w:rFonts w:ascii="Trebuchet MS" w:hAnsi="Trebuchet MS" w:cs="Arial"/>
          <w:color w:val="5F5F5F"/>
          <w:sz w:val="20"/>
          <w:szCs w:val="20"/>
        </w:rPr>
        <w:t>35,8</w:t>
      </w:r>
      <w:r w:rsidR="009A34C5" w:rsidRPr="003E2824">
        <w:rPr>
          <w:rFonts w:ascii="Trebuchet MS" w:hAnsi="Trebuchet MS" w:cs="Arial"/>
          <w:color w:val="5F5F5F"/>
          <w:sz w:val="20"/>
          <w:szCs w:val="20"/>
        </w:rPr>
        <w:t xml:space="preserve"> sono intercomunali</w:t>
      </w:r>
      <w:r w:rsidR="00D03A19" w:rsidRPr="003E2824">
        <w:rPr>
          <w:rFonts w:ascii="Trebuchet MS" w:hAnsi="Trebuchet MS" w:cs="Arial"/>
          <w:color w:val="5F5F5F"/>
          <w:sz w:val="20"/>
          <w:szCs w:val="20"/>
        </w:rPr>
        <w:t xml:space="preserve"> (</w:t>
      </w:r>
      <w:r w:rsidR="009A34C5" w:rsidRPr="003E2824">
        <w:rPr>
          <w:rFonts w:ascii="Trebuchet MS" w:hAnsi="Trebuchet MS" w:cs="Arial"/>
          <w:color w:val="5F5F5F"/>
          <w:sz w:val="20"/>
          <w:szCs w:val="20"/>
        </w:rPr>
        <w:t>oltre</w:t>
      </w:r>
      <w:r w:rsidRPr="003E2824">
        <w:rPr>
          <w:rFonts w:ascii="Trebuchet MS" w:hAnsi="Trebuchet MS" w:cs="Arial"/>
          <w:color w:val="5F5F5F"/>
          <w:sz w:val="20"/>
          <w:szCs w:val="20"/>
        </w:rPr>
        <w:t xml:space="preserve"> il 45%</w:t>
      </w:r>
      <w:r w:rsidR="009A34C5" w:rsidRPr="003E2824">
        <w:rPr>
          <w:rFonts w:ascii="Trebuchet MS" w:hAnsi="Trebuchet MS" w:cs="Arial"/>
          <w:color w:val="5F5F5F"/>
          <w:sz w:val="20"/>
          <w:szCs w:val="20"/>
        </w:rPr>
        <w:t xml:space="preserve"> nei comuni </w:t>
      </w:r>
      <w:r w:rsidR="00E05FB0" w:rsidRPr="003E2824">
        <w:rPr>
          <w:rFonts w:ascii="Trebuchet MS" w:hAnsi="Trebuchet MS" w:cs="Arial"/>
          <w:color w:val="5F5F5F"/>
          <w:sz w:val="20"/>
          <w:szCs w:val="20"/>
        </w:rPr>
        <w:t xml:space="preserve">Intermedi </w:t>
      </w:r>
      <w:r w:rsidR="009A34C5" w:rsidRPr="003E2824">
        <w:rPr>
          <w:rFonts w:ascii="Trebuchet MS" w:hAnsi="Trebuchet MS" w:cs="Arial"/>
          <w:color w:val="5F5F5F"/>
          <w:sz w:val="20"/>
          <w:szCs w:val="20"/>
        </w:rPr>
        <w:t xml:space="preserve">e </w:t>
      </w:r>
      <w:r w:rsidRPr="003E2824">
        <w:rPr>
          <w:rFonts w:ascii="Trebuchet MS" w:hAnsi="Trebuchet MS" w:cs="Arial"/>
          <w:color w:val="5F5F5F"/>
          <w:sz w:val="20"/>
          <w:szCs w:val="20"/>
        </w:rPr>
        <w:t xml:space="preserve">circa </w:t>
      </w:r>
      <w:r w:rsidR="009A34C5" w:rsidRPr="003E2824">
        <w:rPr>
          <w:rFonts w:ascii="Trebuchet MS" w:hAnsi="Trebuchet MS" w:cs="Arial"/>
          <w:color w:val="5F5F5F"/>
          <w:sz w:val="20"/>
          <w:szCs w:val="20"/>
        </w:rPr>
        <w:t xml:space="preserve">il 35% nei comuni </w:t>
      </w:r>
      <w:r w:rsidRPr="003E2824">
        <w:rPr>
          <w:rFonts w:ascii="Trebuchet MS" w:hAnsi="Trebuchet MS" w:cs="Arial"/>
          <w:color w:val="5F5F5F"/>
          <w:sz w:val="20"/>
          <w:szCs w:val="20"/>
        </w:rPr>
        <w:t>Ultrap</w:t>
      </w:r>
      <w:r w:rsidR="00E05FB0" w:rsidRPr="003E2824">
        <w:rPr>
          <w:rFonts w:ascii="Trebuchet MS" w:hAnsi="Trebuchet MS" w:cs="Arial"/>
          <w:color w:val="5F5F5F"/>
          <w:sz w:val="20"/>
          <w:szCs w:val="20"/>
        </w:rPr>
        <w:t>eriferici</w:t>
      </w:r>
      <w:r w:rsidR="00D03A19" w:rsidRPr="003E2824">
        <w:rPr>
          <w:rFonts w:ascii="Trebuchet MS" w:hAnsi="Trebuchet MS" w:cs="Arial"/>
          <w:color w:val="5F5F5F"/>
          <w:sz w:val="20"/>
          <w:szCs w:val="20"/>
        </w:rPr>
        <w:t>)</w:t>
      </w:r>
      <w:r w:rsidR="009A34C5" w:rsidRPr="003E2824">
        <w:rPr>
          <w:rFonts w:ascii="Trebuchet MS" w:hAnsi="Trebuchet MS" w:cs="Arial"/>
          <w:color w:val="5F5F5F"/>
          <w:sz w:val="20"/>
          <w:szCs w:val="20"/>
        </w:rPr>
        <w:t xml:space="preserve">. La popolazione dei Poli, pur avendo una maggiore mobilità, si sposta principalmente all’interno del proprio comune, solo </w:t>
      </w:r>
      <w:r w:rsidR="007F6D01" w:rsidRPr="003E2824">
        <w:rPr>
          <w:rFonts w:ascii="Trebuchet MS" w:hAnsi="Trebuchet MS" w:cs="Arial"/>
          <w:color w:val="5F5F5F"/>
          <w:sz w:val="20"/>
          <w:szCs w:val="20"/>
        </w:rPr>
        <w:t>uno</w:t>
      </w:r>
      <w:r w:rsidR="00CF29F0" w:rsidRPr="003E2824">
        <w:rPr>
          <w:rFonts w:ascii="Trebuchet MS" w:hAnsi="Trebuchet MS" w:cs="Arial"/>
          <w:color w:val="5F5F5F"/>
          <w:sz w:val="20"/>
          <w:szCs w:val="20"/>
        </w:rPr>
        <w:t xml:space="preserve"> </w:t>
      </w:r>
      <w:r w:rsidR="009A34C5" w:rsidRPr="003E2824">
        <w:rPr>
          <w:rFonts w:ascii="Trebuchet MS" w:hAnsi="Trebuchet MS" w:cs="Arial"/>
          <w:color w:val="5F5F5F"/>
          <w:sz w:val="20"/>
          <w:szCs w:val="20"/>
        </w:rPr>
        <w:t>spostament</w:t>
      </w:r>
      <w:r w:rsidR="007F6D01" w:rsidRPr="003E2824">
        <w:rPr>
          <w:rFonts w:ascii="Trebuchet MS" w:hAnsi="Trebuchet MS" w:cs="Arial"/>
          <w:color w:val="5F5F5F"/>
          <w:sz w:val="20"/>
          <w:szCs w:val="20"/>
        </w:rPr>
        <w:t>o</w:t>
      </w:r>
      <w:r w:rsidR="009A34C5" w:rsidRPr="003E2824">
        <w:rPr>
          <w:rFonts w:ascii="Trebuchet MS" w:hAnsi="Trebuchet MS" w:cs="Arial"/>
          <w:color w:val="5F5F5F"/>
          <w:sz w:val="20"/>
          <w:szCs w:val="20"/>
        </w:rPr>
        <w:t xml:space="preserve"> su 10 </w:t>
      </w:r>
      <w:r w:rsidR="007F6D01" w:rsidRPr="003E2824">
        <w:rPr>
          <w:rFonts w:ascii="Trebuchet MS" w:hAnsi="Trebuchet MS" w:cs="Arial"/>
          <w:color w:val="5F5F5F"/>
          <w:sz w:val="20"/>
          <w:szCs w:val="20"/>
        </w:rPr>
        <w:t>è</w:t>
      </w:r>
      <w:r w:rsidR="009A34C5" w:rsidRPr="003E2824">
        <w:rPr>
          <w:rFonts w:ascii="Trebuchet MS" w:hAnsi="Trebuchet MS" w:cs="Arial"/>
          <w:color w:val="5F5F5F"/>
          <w:sz w:val="20"/>
          <w:szCs w:val="20"/>
        </w:rPr>
        <w:t xml:space="preserve"> intercomunal</w:t>
      </w:r>
      <w:r w:rsidR="007F6D01" w:rsidRPr="003E2824">
        <w:rPr>
          <w:rFonts w:ascii="Trebuchet MS" w:hAnsi="Trebuchet MS" w:cs="Arial"/>
          <w:color w:val="5F5F5F"/>
          <w:sz w:val="20"/>
          <w:szCs w:val="20"/>
        </w:rPr>
        <w:t>e</w:t>
      </w:r>
      <w:r w:rsidR="009A34C5" w:rsidRPr="003E2824">
        <w:rPr>
          <w:rFonts w:ascii="Trebuchet MS" w:hAnsi="Trebuchet MS" w:cs="Arial"/>
          <w:color w:val="5F5F5F"/>
          <w:sz w:val="20"/>
          <w:szCs w:val="20"/>
        </w:rPr>
        <w:t xml:space="preserve">. </w:t>
      </w:r>
    </w:p>
    <w:p w14:paraId="3F5211B0" w14:textId="77777777" w:rsidR="00B94469" w:rsidRDefault="00B94469" w:rsidP="00047761">
      <w:pPr>
        <w:keepNext/>
        <w:keepLines/>
        <w:spacing w:after="120"/>
        <w:jc w:val="both"/>
        <w:rPr>
          <w:rFonts w:ascii="Arial Narrow" w:hAnsi="Arial Narrow"/>
          <w:b/>
          <w:bCs/>
          <w:color w:val="595959" w:themeColor="text1" w:themeTint="A6"/>
          <w:sz w:val="22"/>
          <w:szCs w:val="22"/>
        </w:rPr>
      </w:pPr>
    </w:p>
    <w:p w14:paraId="4A7D5997" w14:textId="0BEFED9D" w:rsidR="00B94469" w:rsidRDefault="00B94469" w:rsidP="00B94469">
      <w:pPr>
        <w:keepNext/>
        <w:keepLines/>
        <w:spacing w:after="60"/>
        <w:jc w:val="both"/>
        <w:rPr>
          <w:rFonts w:ascii="Arial Narrow" w:hAnsi="Arial Narrow"/>
          <w:color w:val="595959" w:themeColor="text1" w:themeTint="A6"/>
          <w:sz w:val="20"/>
          <w:szCs w:val="20"/>
        </w:rPr>
      </w:pPr>
      <w:r w:rsidRPr="008340B2">
        <w:rPr>
          <w:rFonts w:ascii="Arial Narrow" w:hAnsi="Arial Narrow"/>
          <w:b/>
          <w:bCs/>
          <w:color w:val="595959" w:themeColor="text1" w:themeTint="A6"/>
          <w:sz w:val="22"/>
          <w:szCs w:val="22"/>
        </w:rPr>
        <w:t xml:space="preserve">PROSPETTO </w:t>
      </w:r>
      <w:r>
        <w:rPr>
          <w:rFonts w:ascii="Arial Narrow" w:hAnsi="Arial Narrow"/>
          <w:b/>
          <w:bCs/>
          <w:color w:val="595959" w:themeColor="text1" w:themeTint="A6"/>
          <w:sz w:val="22"/>
          <w:szCs w:val="22"/>
        </w:rPr>
        <w:t>12</w:t>
      </w:r>
      <w:r w:rsidRPr="008340B2">
        <w:rPr>
          <w:rFonts w:ascii="Arial Narrow" w:hAnsi="Arial Narrow"/>
          <w:b/>
          <w:bCs/>
          <w:color w:val="595959" w:themeColor="text1" w:themeTint="A6"/>
          <w:sz w:val="22"/>
          <w:szCs w:val="22"/>
        </w:rPr>
        <w:t>.</w:t>
      </w:r>
      <w:r w:rsidRPr="008340B2">
        <w:rPr>
          <w:rFonts w:ascii="Arial" w:hAnsi="Arial" w:cs="Arial"/>
          <w:b/>
          <w:bCs/>
          <w:color w:val="595959" w:themeColor="text1" w:themeTint="A6"/>
          <w:sz w:val="20"/>
          <w:szCs w:val="20"/>
        </w:rPr>
        <w:t xml:space="preserve"> </w:t>
      </w:r>
      <w:r w:rsidRPr="008340B2">
        <w:rPr>
          <w:rFonts w:ascii="Arial Narrow" w:hAnsi="Arial Narrow"/>
          <w:color w:val="595959" w:themeColor="text1" w:themeTint="A6"/>
          <w:sz w:val="22"/>
          <w:szCs w:val="22"/>
        </w:rPr>
        <w:t>POPOLAZIONE RESIDENTE PER CLASSIFICAZIONE DEI COMUNI SECONDO LA STRATEGIA NAZIONALE DELLE AREE INTERNE</w:t>
      </w:r>
      <w:r w:rsidRPr="008340B2">
        <w:rPr>
          <w:rFonts w:ascii="Arial Narrow" w:hAnsi="Arial Narrow"/>
          <w:color w:val="595959" w:themeColor="text1" w:themeTint="A6"/>
          <w:sz w:val="20"/>
          <w:szCs w:val="20"/>
        </w:rPr>
        <w:t>. Censimenti 20</w:t>
      </w:r>
      <w:r>
        <w:rPr>
          <w:rFonts w:ascii="Arial Narrow" w:hAnsi="Arial Narrow"/>
          <w:color w:val="595959" w:themeColor="text1" w:themeTint="A6"/>
          <w:sz w:val="20"/>
          <w:szCs w:val="20"/>
        </w:rPr>
        <w:t xml:space="preserve">20 e </w:t>
      </w:r>
      <w:r w:rsidRPr="008340B2">
        <w:rPr>
          <w:rFonts w:ascii="Arial Narrow" w:hAnsi="Arial Narrow"/>
          <w:color w:val="595959" w:themeColor="text1" w:themeTint="A6"/>
          <w:sz w:val="20"/>
          <w:szCs w:val="20"/>
        </w:rPr>
        <w:t>201</w:t>
      </w:r>
      <w:r>
        <w:rPr>
          <w:rFonts w:ascii="Arial Narrow" w:hAnsi="Arial Narrow"/>
          <w:color w:val="595959" w:themeColor="text1" w:themeTint="A6"/>
          <w:sz w:val="20"/>
          <w:szCs w:val="20"/>
        </w:rPr>
        <w:t>9</w:t>
      </w:r>
      <w:r w:rsidRPr="008340B2">
        <w:rPr>
          <w:rFonts w:ascii="Arial Narrow" w:hAnsi="Arial Narrow"/>
          <w:color w:val="595959" w:themeColor="text1" w:themeTint="A6"/>
          <w:sz w:val="20"/>
          <w:szCs w:val="20"/>
        </w:rPr>
        <w:t>. Valori assoluti e variazione per 100 residenti.</w:t>
      </w:r>
    </w:p>
    <w:tbl>
      <w:tblPr>
        <w:tblW w:w="9600" w:type="dxa"/>
        <w:tblCellMar>
          <w:left w:w="70" w:type="dxa"/>
          <w:right w:w="70" w:type="dxa"/>
        </w:tblCellMar>
        <w:tblLook w:val="04A0" w:firstRow="1" w:lastRow="0" w:firstColumn="1" w:lastColumn="0" w:noHBand="0" w:noVBand="1"/>
      </w:tblPr>
      <w:tblGrid>
        <w:gridCol w:w="2020"/>
        <w:gridCol w:w="1760"/>
        <w:gridCol w:w="1749"/>
        <w:gridCol w:w="1771"/>
        <w:gridCol w:w="2300"/>
      </w:tblGrid>
      <w:tr w:rsidR="008423EB" w14:paraId="4AF750E4" w14:textId="77777777" w:rsidTr="008423EB">
        <w:trPr>
          <w:trHeight w:val="300"/>
        </w:trPr>
        <w:tc>
          <w:tcPr>
            <w:tcW w:w="2020" w:type="dxa"/>
            <w:vMerge w:val="restart"/>
            <w:tcBorders>
              <w:top w:val="single" w:sz="4" w:space="0" w:color="auto"/>
              <w:left w:val="nil"/>
              <w:bottom w:val="single" w:sz="4" w:space="0" w:color="auto"/>
              <w:right w:val="nil"/>
            </w:tcBorders>
            <w:shd w:val="clear" w:color="auto" w:fill="auto"/>
            <w:noWrap/>
            <w:vAlign w:val="center"/>
            <w:hideMark/>
          </w:tcPr>
          <w:p w14:paraId="5A836F35" w14:textId="77777777" w:rsidR="008423EB" w:rsidRDefault="008423EB">
            <w:pPr>
              <w:rPr>
                <w:rFonts w:ascii="Arial Narrow" w:hAnsi="Arial Narrow" w:cs="Calibri"/>
                <w:b/>
                <w:bCs/>
                <w:color w:val="000000"/>
                <w:sz w:val="18"/>
                <w:szCs w:val="18"/>
              </w:rPr>
            </w:pPr>
            <w:r>
              <w:rPr>
                <w:rFonts w:ascii="Arial Narrow" w:hAnsi="Arial Narrow" w:cs="Calibri"/>
                <w:b/>
                <w:bCs/>
                <w:color w:val="000000"/>
                <w:sz w:val="18"/>
                <w:szCs w:val="18"/>
              </w:rPr>
              <w:t>CLASSI</w:t>
            </w:r>
          </w:p>
        </w:tc>
        <w:tc>
          <w:tcPr>
            <w:tcW w:w="1760" w:type="dxa"/>
            <w:vMerge w:val="restart"/>
            <w:tcBorders>
              <w:top w:val="single" w:sz="4" w:space="0" w:color="auto"/>
              <w:left w:val="nil"/>
              <w:bottom w:val="single" w:sz="4" w:space="0" w:color="000000"/>
              <w:right w:val="nil"/>
            </w:tcBorders>
            <w:shd w:val="clear" w:color="auto" w:fill="auto"/>
            <w:vAlign w:val="center"/>
            <w:hideMark/>
          </w:tcPr>
          <w:p w14:paraId="7F4E3B3D" w14:textId="77777777" w:rsidR="008423EB" w:rsidRDefault="008423EB">
            <w:pPr>
              <w:jc w:val="center"/>
              <w:rPr>
                <w:rFonts w:ascii="Arial Narrow" w:hAnsi="Arial Narrow" w:cs="Calibri"/>
                <w:b/>
                <w:bCs/>
                <w:color w:val="000000"/>
                <w:sz w:val="18"/>
                <w:szCs w:val="18"/>
              </w:rPr>
            </w:pPr>
            <w:r>
              <w:rPr>
                <w:rFonts w:ascii="Arial Narrow" w:hAnsi="Arial Narrow" w:cs="Calibri"/>
                <w:b/>
                <w:bCs/>
                <w:color w:val="000000"/>
                <w:sz w:val="18"/>
                <w:szCs w:val="18"/>
              </w:rPr>
              <w:t>Numero comuni</w:t>
            </w:r>
          </w:p>
        </w:tc>
        <w:tc>
          <w:tcPr>
            <w:tcW w:w="3520" w:type="dxa"/>
            <w:gridSpan w:val="2"/>
            <w:tcBorders>
              <w:top w:val="single" w:sz="4" w:space="0" w:color="auto"/>
              <w:left w:val="nil"/>
              <w:bottom w:val="single" w:sz="4" w:space="0" w:color="auto"/>
              <w:right w:val="nil"/>
            </w:tcBorders>
            <w:shd w:val="clear" w:color="000000" w:fill="D3D3D3"/>
            <w:noWrap/>
            <w:vAlign w:val="center"/>
            <w:hideMark/>
          </w:tcPr>
          <w:p w14:paraId="77437E14" w14:textId="77777777" w:rsidR="008423EB" w:rsidRDefault="008423EB">
            <w:pPr>
              <w:jc w:val="center"/>
              <w:rPr>
                <w:rFonts w:ascii="Arial Narrow" w:hAnsi="Arial Narrow" w:cs="Calibri"/>
                <w:b/>
                <w:bCs/>
                <w:color w:val="000000"/>
                <w:sz w:val="18"/>
                <w:szCs w:val="18"/>
              </w:rPr>
            </w:pPr>
            <w:r>
              <w:rPr>
                <w:rFonts w:ascii="Arial Narrow" w:hAnsi="Arial Narrow" w:cs="Calibri"/>
                <w:b/>
                <w:bCs/>
                <w:color w:val="000000"/>
                <w:sz w:val="18"/>
                <w:szCs w:val="18"/>
              </w:rPr>
              <w:t>Popolazione residente</w:t>
            </w:r>
          </w:p>
        </w:tc>
        <w:tc>
          <w:tcPr>
            <w:tcW w:w="2300" w:type="dxa"/>
            <w:vMerge w:val="restart"/>
            <w:tcBorders>
              <w:top w:val="single" w:sz="4" w:space="0" w:color="auto"/>
              <w:left w:val="nil"/>
              <w:bottom w:val="single" w:sz="4" w:space="0" w:color="auto"/>
              <w:right w:val="nil"/>
            </w:tcBorders>
            <w:shd w:val="clear" w:color="auto" w:fill="auto"/>
            <w:vAlign w:val="center"/>
            <w:hideMark/>
          </w:tcPr>
          <w:p w14:paraId="7348CD42" w14:textId="77777777" w:rsidR="008423EB" w:rsidRDefault="008423EB">
            <w:pPr>
              <w:jc w:val="center"/>
              <w:rPr>
                <w:rFonts w:ascii="Arial Narrow" w:hAnsi="Arial Narrow" w:cs="Calibri"/>
                <w:b/>
                <w:bCs/>
                <w:color w:val="000000"/>
                <w:sz w:val="18"/>
                <w:szCs w:val="18"/>
              </w:rPr>
            </w:pPr>
            <w:r>
              <w:rPr>
                <w:rFonts w:ascii="Arial Narrow" w:hAnsi="Arial Narrow" w:cs="Calibri"/>
                <w:b/>
                <w:bCs/>
                <w:color w:val="000000"/>
                <w:sz w:val="18"/>
                <w:szCs w:val="18"/>
              </w:rPr>
              <w:t>Variazione della popolazione</w:t>
            </w:r>
            <w:r>
              <w:rPr>
                <w:rFonts w:ascii="Arial Narrow" w:hAnsi="Arial Narrow" w:cs="Calibri"/>
                <w:b/>
                <w:bCs/>
                <w:color w:val="000000"/>
                <w:sz w:val="18"/>
                <w:szCs w:val="18"/>
              </w:rPr>
              <w:br/>
              <w:t>2020-2019</w:t>
            </w:r>
          </w:p>
        </w:tc>
      </w:tr>
      <w:tr w:rsidR="008423EB" w14:paraId="79B1AB4F" w14:textId="77777777" w:rsidTr="003759BF">
        <w:trPr>
          <w:trHeight w:val="300"/>
        </w:trPr>
        <w:tc>
          <w:tcPr>
            <w:tcW w:w="2020" w:type="dxa"/>
            <w:vMerge/>
            <w:tcBorders>
              <w:top w:val="single" w:sz="4" w:space="0" w:color="auto"/>
              <w:left w:val="nil"/>
              <w:bottom w:val="single" w:sz="4" w:space="0" w:color="auto"/>
              <w:right w:val="nil"/>
            </w:tcBorders>
            <w:vAlign w:val="center"/>
            <w:hideMark/>
          </w:tcPr>
          <w:p w14:paraId="0CE714AC" w14:textId="77777777" w:rsidR="008423EB" w:rsidRDefault="008423EB">
            <w:pPr>
              <w:rPr>
                <w:rFonts w:ascii="Arial Narrow" w:hAnsi="Arial Narrow" w:cs="Calibri"/>
                <w:b/>
                <w:bCs/>
                <w:color w:val="000000"/>
                <w:sz w:val="18"/>
                <w:szCs w:val="18"/>
              </w:rPr>
            </w:pPr>
          </w:p>
        </w:tc>
        <w:tc>
          <w:tcPr>
            <w:tcW w:w="1760" w:type="dxa"/>
            <w:vMerge/>
            <w:tcBorders>
              <w:top w:val="single" w:sz="4" w:space="0" w:color="auto"/>
              <w:left w:val="nil"/>
              <w:bottom w:val="single" w:sz="4" w:space="0" w:color="000000"/>
              <w:right w:val="nil"/>
            </w:tcBorders>
            <w:vAlign w:val="center"/>
            <w:hideMark/>
          </w:tcPr>
          <w:p w14:paraId="1810B5CC" w14:textId="77777777" w:rsidR="008423EB" w:rsidRDefault="008423EB">
            <w:pPr>
              <w:rPr>
                <w:rFonts w:ascii="Arial Narrow" w:hAnsi="Arial Narrow" w:cs="Calibri"/>
                <w:b/>
                <w:bCs/>
                <w:color w:val="000000"/>
                <w:sz w:val="18"/>
                <w:szCs w:val="18"/>
              </w:rPr>
            </w:pPr>
          </w:p>
        </w:tc>
        <w:tc>
          <w:tcPr>
            <w:tcW w:w="1749" w:type="dxa"/>
            <w:tcBorders>
              <w:top w:val="nil"/>
              <w:left w:val="nil"/>
              <w:bottom w:val="single" w:sz="4" w:space="0" w:color="auto"/>
              <w:right w:val="nil"/>
            </w:tcBorders>
            <w:shd w:val="clear" w:color="000000" w:fill="FFFFFF"/>
            <w:noWrap/>
            <w:vAlign w:val="center"/>
            <w:hideMark/>
          </w:tcPr>
          <w:p w14:paraId="541B0622"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1771" w:type="dxa"/>
            <w:tcBorders>
              <w:top w:val="nil"/>
              <w:left w:val="nil"/>
              <w:bottom w:val="single" w:sz="4" w:space="0" w:color="auto"/>
              <w:right w:val="nil"/>
            </w:tcBorders>
            <w:shd w:val="clear" w:color="auto" w:fill="auto"/>
            <w:vAlign w:val="center"/>
            <w:hideMark/>
          </w:tcPr>
          <w:p w14:paraId="2BC73AF1"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2300" w:type="dxa"/>
            <w:vMerge/>
            <w:tcBorders>
              <w:top w:val="single" w:sz="4" w:space="0" w:color="auto"/>
              <w:left w:val="nil"/>
              <w:bottom w:val="single" w:sz="4" w:space="0" w:color="auto"/>
              <w:right w:val="nil"/>
            </w:tcBorders>
            <w:vAlign w:val="center"/>
            <w:hideMark/>
          </w:tcPr>
          <w:p w14:paraId="152CFB4E" w14:textId="77777777" w:rsidR="008423EB" w:rsidRDefault="008423EB">
            <w:pPr>
              <w:rPr>
                <w:rFonts w:ascii="Arial Narrow" w:hAnsi="Arial Narrow" w:cs="Calibri"/>
                <w:b/>
                <w:bCs/>
                <w:color w:val="000000"/>
                <w:sz w:val="18"/>
                <w:szCs w:val="18"/>
              </w:rPr>
            </w:pPr>
          </w:p>
        </w:tc>
      </w:tr>
      <w:tr w:rsidR="008423EB" w14:paraId="19A5A870" w14:textId="77777777" w:rsidTr="003759BF">
        <w:trPr>
          <w:trHeight w:val="300"/>
        </w:trPr>
        <w:tc>
          <w:tcPr>
            <w:tcW w:w="2020" w:type="dxa"/>
            <w:tcBorders>
              <w:top w:val="nil"/>
              <w:left w:val="nil"/>
              <w:bottom w:val="single" w:sz="4" w:space="0" w:color="auto"/>
              <w:right w:val="nil"/>
            </w:tcBorders>
            <w:shd w:val="clear" w:color="000000" w:fill="D9D9D9"/>
            <w:noWrap/>
            <w:vAlign w:val="center"/>
            <w:hideMark/>
          </w:tcPr>
          <w:p w14:paraId="3005FCF2" w14:textId="77777777" w:rsidR="008423EB" w:rsidRDefault="008423EB">
            <w:pPr>
              <w:rPr>
                <w:rFonts w:ascii="Arial Narrow" w:hAnsi="Arial Narrow" w:cs="Calibri"/>
                <w:b/>
                <w:bCs/>
                <w:color w:val="000000"/>
                <w:sz w:val="18"/>
                <w:szCs w:val="18"/>
              </w:rPr>
            </w:pPr>
            <w:r>
              <w:rPr>
                <w:rFonts w:ascii="Arial Narrow" w:hAnsi="Arial Narrow" w:cs="Calibri"/>
                <w:b/>
                <w:bCs/>
                <w:color w:val="000000"/>
                <w:sz w:val="18"/>
                <w:szCs w:val="18"/>
              </w:rPr>
              <w:t>Centri</w:t>
            </w:r>
          </w:p>
        </w:tc>
        <w:tc>
          <w:tcPr>
            <w:tcW w:w="1760" w:type="dxa"/>
            <w:tcBorders>
              <w:top w:val="single" w:sz="4" w:space="0" w:color="auto"/>
              <w:left w:val="nil"/>
              <w:bottom w:val="single" w:sz="4" w:space="0" w:color="auto"/>
              <w:right w:val="nil"/>
            </w:tcBorders>
            <w:shd w:val="clear" w:color="000000" w:fill="D9D9D9"/>
            <w:vAlign w:val="center"/>
            <w:hideMark/>
          </w:tcPr>
          <w:p w14:paraId="70C5A481"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5</w:t>
            </w:r>
          </w:p>
        </w:tc>
        <w:tc>
          <w:tcPr>
            <w:tcW w:w="1749" w:type="dxa"/>
            <w:tcBorders>
              <w:top w:val="nil"/>
              <w:left w:val="nil"/>
              <w:bottom w:val="single" w:sz="4" w:space="0" w:color="262626"/>
              <w:right w:val="nil"/>
            </w:tcBorders>
            <w:shd w:val="clear" w:color="000000" w:fill="D9D9D9"/>
            <w:noWrap/>
            <w:vAlign w:val="center"/>
            <w:hideMark/>
          </w:tcPr>
          <w:p w14:paraId="6944EBD6"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144.893 </w:t>
            </w:r>
          </w:p>
        </w:tc>
        <w:tc>
          <w:tcPr>
            <w:tcW w:w="1771" w:type="dxa"/>
            <w:tcBorders>
              <w:top w:val="single" w:sz="4" w:space="0" w:color="auto"/>
              <w:left w:val="nil"/>
              <w:bottom w:val="single" w:sz="4" w:space="0" w:color="auto"/>
              <w:right w:val="nil"/>
            </w:tcBorders>
            <w:shd w:val="clear" w:color="000000" w:fill="D9D9D9"/>
            <w:vAlign w:val="center"/>
            <w:hideMark/>
          </w:tcPr>
          <w:p w14:paraId="14185E11"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146.713</w:t>
            </w:r>
          </w:p>
        </w:tc>
        <w:tc>
          <w:tcPr>
            <w:tcW w:w="2300" w:type="dxa"/>
            <w:tcBorders>
              <w:top w:val="nil"/>
              <w:left w:val="nil"/>
              <w:bottom w:val="single" w:sz="4" w:space="0" w:color="262626"/>
              <w:right w:val="nil"/>
            </w:tcBorders>
            <w:shd w:val="clear" w:color="000000" w:fill="D9D9D9"/>
            <w:noWrap/>
            <w:vAlign w:val="center"/>
            <w:hideMark/>
          </w:tcPr>
          <w:p w14:paraId="05DD662E"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-1,2 </w:t>
            </w:r>
          </w:p>
        </w:tc>
      </w:tr>
      <w:tr w:rsidR="008423EB" w14:paraId="05D6C401" w14:textId="77777777" w:rsidTr="003759BF">
        <w:trPr>
          <w:trHeight w:val="300"/>
        </w:trPr>
        <w:tc>
          <w:tcPr>
            <w:tcW w:w="2020" w:type="dxa"/>
            <w:tcBorders>
              <w:top w:val="nil"/>
              <w:left w:val="nil"/>
              <w:bottom w:val="single" w:sz="4" w:space="0" w:color="auto"/>
              <w:right w:val="nil"/>
            </w:tcBorders>
            <w:shd w:val="clear" w:color="auto" w:fill="auto"/>
            <w:noWrap/>
            <w:vAlign w:val="center"/>
            <w:hideMark/>
          </w:tcPr>
          <w:p w14:paraId="033B8D3C" w14:textId="77777777" w:rsidR="008423EB" w:rsidRDefault="008423EB">
            <w:pPr>
              <w:rPr>
                <w:rFonts w:ascii="Arial Narrow" w:hAnsi="Arial Narrow" w:cs="Calibri"/>
                <w:color w:val="000000"/>
                <w:sz w:val="18"/>
                <w:szCs w:val="18"/>
              </w:rPr>
            </w:pPr>
            <w:r>
              <w:rPr>
                <w:rFonts w:ascii="Arial Narrow" w:hAnsi="Arial Narrow" w:cs="Calibri"/>
                <w:color w:val="000000"/>
                <w:sz w:val="18"/>
                <w:szCs w:val="18"/>
              </w:rPr>
              <w:t xml:space="preserve">   Polo</w:t>
            </w:r>
          </w:p>
        </w:tc>
        <w:tc>
          <w:tcPr>
            <w:tcW w:w="1760" w:type="dxa"/>
            <w:tcBorders>
              <w:top w:val="nil"/>
              <w:left w:val="nil"/>
              <w:bottom w:val="single" w:sz="4" w:space="0" w:color="auto"/>
              <w:right w:val="nil"/>
            </w:tcBorders>
            <w:shd w:val="clear" w:color="000000" w:fill="D9D9D9"/>
            <w:vAlign w:val="center"/>
            <w:hideMark/>
          </w:tcPr>
          <w:p w14:paraId="1EA5E149"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2</w:t>
            </w:r>
          </w:p>
        </w:tc>
        <w:tc>
          <w:tcPr>
            <w:tcW w:w="1749" w:type="dxa"/>
            <w:tcBorders>
              <w:top w:val="nil"/>
              <w:left w:val="nil"/>
              <w:bottom w:val="single" w:sz="4" w:space="0" w:color="262626"/>
              <w:right w:val="nil"/>
            </w:tcBorders>
            <w:shd w:val="clear" w:color="auto" w:fill="auto"/>
            <w:noWrap/>
            <w:vAlign w:val="center"/>
            <w:hideMark/>
          </w:tcPr>
          <w:p w14:paraId="5CC0609F"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125.214 </w:t>
            </w:r>
          </w:p>
        </w:tc>
        <w:tc>
          <w:tcPr>
            <w:tcW w:w="1771" w:type="dxa"/>
            <w:tcBorders>
              <w:top w:val="nil"/>
              <w:left w:val="nil"/>
              <w:bottom w:val="single" w:sz="4" w:space="0" w:color="auto"/>
              <w:right w:val="nil"/>
            </w:tcBorders>
            <w:shd w:val="clear" w:color="000000" w:fill="D9D9D9"/>
            <w:vAlign w:val="center"/>
            <w:hideMark/>
          </w:tcPr>
          <w:p w14:paraId="5B479FF5"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126.923</w:t>
            </w:r>
          </w:p>
        </w:tc>
        <w:tc>
          <w:tcPr>
            <w:tcW w:w="2300" w:type="dxa"/>
            <w:tcBorders>
              <w:top w:val="nil"/>
              <w:left w:val="nil"/>
              <w:bottom w:val="single" w:sz="4" w:space="0" w:color="262626"/>
              <w:right w:val="nil"/>
            </w:tcBorders>
            <w:shd w:val="clear" w:color="auto" w:fill="auto"/>
            <w:noWrap/>
            <w:vAlign w:val="center"/>
            <w:hideMark/>
          </w:tcPr>
          <w:p w14:paraId="65D05EEE"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-1,3 </w:t>
            </w:r>
          </w:p>
        </w:tc>
      </w:tr>
      <w:tr w:rsidR="008423EB" w14:paraId="66F6AEBE" w14:textId="77777777" w:rsidTr="003759BF">
        <w:trPr>
          <w:trHeight w:val="300"/>
        </w:trPr>
        <w:tc>
          <w:tcPr>
            <w:tcW w:w="2020" w:type="dxa"/>
            <w:tcBorders>
              <w:top w:val="nil"/>
              <w:left w:val="nil"/>
              <w:bottom w:val="single" w:sz="4" w:space="0" w:color="auto"/>
              <w:right w:val="nil"/>
            </w:tcBorders>
            <w:shd w:val="clear" w:color="auto" w:fill="auto"/>
            <w:noWrap/>
            <w:vAlign w:val="center"/>
            <w:hideMark/>
          </w:tcPr>
          <w:p w14:paraId="1B2A114A" w14:textId="77777777" w:rsidR="008423EB" w:rsidRDefault="008423EB">
            <w:pPr>
              <w:rPr>
                <w:rFonts w:ascii="Arial Narrow" w:hAnsi="Arial Narrow" w:cs="Calibri"/>
                <w:color w:val="000000"/>
                <w:sz w:val="18"/>
                <w:szCs w:val="18"/>
              </w:rPr>
            </w:pPr>
            <w:r>
              <w:rPr>
                <w:rFonts w:ascii="Arial Narrow" w:hAnsi="Arial Narrow" w:cs="Calibri"/>
                <w:color w:val="000000"/>
                <w:sz w:val="18"/>
                <w:szCs w:val="18"/>
              </w:rPr>
              <w:t xml:space="preserve">   Cintura</w:t>
            </w:r>
          </w:p>
        </w:tc>
        <w:tc>
          <w:tcPr>
            <w:tcW w:w="1760" w:type="dxa"/>
            <w:tcBorders>
              <w:top w:val="nil"/>
              <w:left w:val="nil"/>
              <w:bottom w:val="single" w:sz="4" w:space="0" w:color="auto"/>
              <w:right w:val="nil"/>
            </w:tcBorders>
            <w:shd w:val="clear" w:color="000000" w:fill="D9D9D9"/>
            <w:vAlign w:val="center"/>
            <w:hideMark/>
          </w:tcPr>
          <w:p w14:paraId="37E5FCD4"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3</w:t>
            </w:r>
          </w:p>
        </w:tc>
        <w:tc>
          <w:tcPr>
            <w:tcW w:w="1749" w:type="dxa"/>
            <w:tcBorders>
              <w:top w:val="nil"/>
              <w:left w:val="nil"/>
              <w:bottom w:val="single" w:sz="4" w:space="0" w:color="262626"/>
              <w:right w:val="nil"/>
            </w:tcBorders>
            <w:shd w:val="clear" w:color="auto" w:fill="auto"/>
            <w:noWrap/>
            <w:vAlign w:val="center"/>
            <w:hideMark/>
          </w:tcPr>
          <w:p w14:paraId="0D212CA8"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19.679 </w:t>
            </w:r>
          </w:p>
        </w:tc>
        <w:tc>
          <w:tcPr>
            <w:tcW w:w="1771" w:type="dxa"/>
            <w:tcBorders>
              <w:top w:val="nil"/>
              <w:left w:val="nil"/>
              <w:bottom w:val="single" w:sz="4" w:space="0" w:color="auto"/>
              <w:right w:val="nil"/>
            </w:tcBorders>
            <w:shd w:val="clear" w:color="000000" w:fill="D9D9D9"/>
            <w:vAlign w:val="center"/>
            <w:hideMark/>
          </w:tcPr>
          <w:p w14:paraId="4CBAE220"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19.790</w:t>
            </w:r>
          </w:p>
        </w:tc>
        <w:tc>
          <w:tcPr>
            <w:tcW w:w="2300" w:type="dxa"/>
            <w:tcBorders>
              <w:top w:val="nil"/>
              <w:left w:val="nil"/>
              <w:bottom w:val="single" w:sz="4" w:space="0" w:color="262626"/>
              <w:right w:val="nil"/>
            </w:tcBorders>
            <w:shd w:val="clear" w:color="auto" w:fill="auto"/>
            <w:noWrap/>
            <w:vAlign w:val="center"/>
            <w:hideMark/>
          </w:tcPr>
          <w:p w14:paraId="3881CF33"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-0,6 </w:t>
            </w:r>
          </w:p>
        </w:tc>
      </w:tr>
      <w:tr w:rsidR="008423EB" w14:paraId="64067504" w14:textId="77777777" w:rsidTr="003759BF">
        <w:trPr>
          <w:trHeight w:val="300"/>
        </w:trPr>
        <w:tc>
          <w:tcPr>
            <w:tcW w:w="2020" w:type="dxa"/>
            <w:tcBorders>
              <w:top w:val="nil"/>
              <w:left w:val="nil"/>
              <w:bottom w:val="single" w:sz="4" w:space="0" w:color="auto"/>
              <w:right w:val="nil"/>
            </w:tcBorders>
            <w:shd w:val="clear" w:color="000000" w:fill="D9D9D9"/>
            <w:noWrap/>
            <w:vAlign w:val="center"/>
            <w:hideMark/>
          </w:tcPr>
          <w:p w14:paraId="209A9959" w14:textId="77777777" w:rsidR="008423EB" w:rsidRDefault="008423EB">
            <w:pPr>
              <w:rPr>
                <w:rFonts w:ascii="Arial Narrow" w:hAnsi="Arial Narrow" w:cs="Calibri"/>
                <w:b/>
                <w:bCs/>
                <w:color w:val="000000"/>
                <w:sz w:val="18"/>
                <w:szCs w:val="18"/>
              </w:rPr>
            </w:pPr>
            <w:r>
              <w:rPr>
                <w:rFonts w:ascii="Arial Narrow" w:hAnsi="Arial Narrow" w:cs="Calibri"/>
                <w:b/>
                <w:bCs/>
                <w:color w:val="000000"/>
                <w:sz w:val="18"/>
                <w:szCs w:val="18"/>
              </w:rPr>
              <w:t>Aree interne</w:t>
            </w:r>
          </w:p>
        </w:tc>
        <w:tc>
          <w:tcPr>
            <w:tcW w:w="1760" w:type="dxa"/>
            <w:tcBorders>
              <w:top w:val="single" w:sz="4" w:space="0" w:color="auto"/>
              <w:left w:val="nil"/>
              <w:bottom w:val="single" w:sz="4" w:space="0" w:color="auto"/>
              <w:right w:val="nil"/>
            </w:tcBorders>
            <w:shd w:val="clear" w:color="000000" w:fill="D9D9D9"/>
            <w:vAlign w:val="center"/>
            <w:hideMark/>
          </w:tcPr>
          <w:p w14:paraId="65F9BB81"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126</w:t>
            </w:r>
          </w:p>
        </w:tc>
        <w:tc>
          <w:tcPr>
            <w:tcW w:w="1749" w:type="dxa"/>
            <w:tcBorders>
              <w:top w:val="nil"/>
              <w:left w:val="nil"/>
              <w:bottom w:val="single" w:sz="4" w:space="0" w:color="262626"/>
              <w:right w:val="nil"/>
            </w:tcBorders>
            <w:shd w:val="clear" w:color="000000" w:fill="D9D9D9"/>
            <w:noWrap/>
            <w:vAlign w:val="center"/>
            <w:hideMark/>
          </w:tcPr>
          <w:p w14:paraId="389B2B57"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400.237 </w:t>
            </w:r>
          </w:p>
        </w:tc>
        <w:tc>
          <w:tcPr>
            <w:tcW w:w="1771" w:type="dxa"/>
            <w:tcBorders>
              <w:top w:val="single" w:sz="4" w:space="0" w:color="auto"/>
              <w:left w:val="nil"/>
              <w:bottom w:val="single" w:sz="4" w:space="0" w:color="auto"/>
              <w:right w:val="nil"/>
            </w:tcBorders>
            <w:shd w:val="clear" w:color="000000" w:fill="D9D9D9"/>
            <w:vAlign w:val="center"/>
            <w:hideMark/>
          </w:tcPr>
          <w:p w14:paraId="33DA7C87"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406.541</w:t>
            </w:r>
          </w:p>
        </w:tc>
        <w:tc>
          <w:tcPr>
            <w:tcW w:w="2300" w:type="dxa"/>
            <w:tcBorders>
              <w:top w:val="nil"/>
              <w:left w:val="nil"/>
              <w:bottom w:val="single" w:sz="4" w:space="0" w:color="262626"/>
              <w:right w:val="nil"/>
            </w:tcBorders>
            <w:shd w:val="clear" w:color="000000" w:fill="D9D9D9"/>
            <w:noWrap/>
            <w:vAlign w:val="center"/>
            <w:hideMark/>
          </w:tcPr>
          <w:p w14:paraId="5FE80B4D" w14:textId="77777777" w:rsidR="008423EB" w:rsidRDefault="008423E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-1,6 </w:t>
            </w:r>
          </w:p>
        </w:tc>
      </w:tr>
      <w:tr w:rsidR="008423EB" w14:paraId="0B7E1418" w14:textId="77777777" w:rsidTr="003759BF">
        <w:trPr>
          <w:trHeight w:val="300"/>
        </w:trPr>
        <w:tc>
          <w:tcPr>
            <w:tcW w:w="2020" w:type="dxa"/>
            <w:tcBorders>
              <w:top w:val="nil"/>
              <w:left w:val="nil"/>
              <w:bottom w:val="single" w:sz="4" w:space="0" w:color="auto"/>
              <w:right w:val="nil"/>
            </w:tcBorders>
            <w:shd w:val="clear" w:color="auto" w:fill="auto"/>
            <w:noWrap/>
            <w:vAlign w:val="center"/>
            <w:hideMark/>
          </w:tcPr>
          <w:p w14:paraId="66C417CE" w14:textId="77777777" w:rsidR="008423EB" w:rsidRDefault="008423EB">
            <w:pPr>
              <w:rPr>
                <w:rFonts w:ascii="Arial Narrow" w:hAnsi="Arial Narrow" w:cs="Calibri"/>
                <w:color w:val="000000"/>
                <w:sz w:val="18"/>
                <w:szCs w:val="18"/>
              </w:rPr>
            </w:pPr>
            <w:r>
              <w:rPr>
                <w:rFonts w:ascii="Arial Narrow" w:hAnsi="Arial Narrow" w:cs="Calibri"/>
                <w:color w:val="000000"/>
                <w:sz w:val="18"/>
                <w:szCs w:val="18"/>
              </w:rPr>
              <w:t xml:space="preserve">   Intermedio</w:t>
            </w:r>
          </w:p>
        </w:tc>
        <w:tc>
          <w:tcPr>
            <w:tcW w:w="1760" w:type="dxa"/>
            <w:tcBorders>
              <w:top w:val="nil"/>
              <w:left w:val="nil"/>
              <w:bottom w:val="single" w:sz="4" w:space="0" w:color="auto"/>
              <w:right w:val="nil"/>
            </w:tcBorders>
            <w:shd w:val="clear" w:color="000000" w:fill="D9D9D9"/>
            <w:vAlign w:val="center"/>
            <w:hideMark/>
          </w:tcPr>
          <w:p w14:paraId="0BD2359F"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16</w:t>
            </w:r>
          </w:p>
        </w:tc>
        <w:tc>
          <w:tcPr>
            <w:tcW w:w="1749" w:type="dxa"/>
            <w:tcBorders>
              <w:top w:val="nil"/>
              <w:left w:val="nil"/>
              <w:bottom w:val="single" w:sz="4" w:space="0" w:color="262626"/>
              <w:right w:val="nil"/>
            </w:tcBorders>
            <w:shd w:val="clear" w:color="auto" w:fill="auto"/>
            <w:noWrap/>
            <w:vAlign w:val="center"/>
            <w:hideMark/>
          </w:tcPr>
          <w:p w14:paraId="1A5FCAF0"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67.431 </w:t>
            </w:r>
          </w:p>
        </w:tc>
        <w:tc>
          <w:tcPr>
            <w:tcW w:w="1771" w:type="dxa"/>
            <w:tcBorders>
              <w:top w:val="nil"/>
              <w:left w:val="nil"/>
              <w:bottom w:val="single" w:sz="4" w:space="0" w:color="auto"/>
              <w:right w:val="nil"/>
            </w:tcBorders>
            <w:shd w:val="clear" w:color="000000" w:fill="D9D9D9"/>
            <w:vAlign w:val="center"/>
            <w:hideMark/>
          </w:tcPr>
          <w:p w14:paraId="67F9192D"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68.593</w:t>
            </w:r>
          </w:p>
        </w:tc>
        <w:tc>
          <w:tcPr>
            <w:tcW w:w="2300" w:type="dxa"/>
            <w:tcBorders>
              <w:top w:val="nil"/>
              <w:left w:val="nil"/>
              <w:bottom w:val="single" w:sz="4" w:space="0" w:color="262626"/>
              <w:right w:val="nil"/>
            </w:tcBorders>
            <w:shd w:val="clear" w:color="auto" w:fill="auto"/>
            <w:noWrap/>
            <w:vAlign w:val="center"/>
            <w:hideMark/>
          </w:tcPr>
          <w:p w14:paraId="5A47B1D5"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-1,7 </w:t>
            </w:r>
          </w:p>
        </w:tc>
      </w:tr>
      <w:tr w:rsidR="008423EB" w14:paraId="5CA7B3FB" w14:textId="77777777" w:rsidTr="003759BF">
        <w:trPr>
          <w:trHeight w:val="300"/>
        </w:trPr>
        <w:tc>
          <w:tcPr>
            <w:tcW w:w="2020" w:type="dxa"/>
            <w:tcBorders>
              <w:top w:val="nil"/>
              <w:left w:val="nil"/>
              <w:bottom w:val="single" w:sz="4" w:space="0" w:color="auto"/>
              <w:right w:val="nil"/>
            </w:tcBorders>
            <w:shd w:val="clear" w:color="auto" w:fill="auto"/>
            <w:noWrap/>
            <w:vAlign w:val="center"/>
            <w:hideMark/>
          </w:tcPr>
          <w:p w14:paraId="7ED59CC7" w14:textId="77777777" w:rsidR="008423EB" w:rsidRDefault="008423EB">
            <w:pPr>
              <w:rPr>
                <w:rFonts w:ascii="Arial Narrow" w:hAnsi="Arial Narrow" w:cs="Calibri"/>
                <w:color w:val="000000"/>
                <w:sz w:val="18"/>
                <w:szCs w:val="18"/>
              </w:rPr>
            </w:pPr>
            <w:r>
              <w:rPr>
                <w:rFonts w:ascii="Arial Narrow" w:hAnsi="Arial Narrow" w:cs="Calibri"/>
                <w:color w:val="000000"/>
                <w:sz w:val="18"/>
                <w:szCs w:val="18"/>
              </w:rPr>
              <w:t xml:space="preserve">   Periferico</w:t>
            </w:r>
          </w:p>
        </w:tc>
        <w:tc>
          <w:tcPr>
            <w:tcW w:w="1760" w:type="dxa"/>
            <w:tcBorders>
              <w:top w:val="nil"/>
              <w:left w:val="nil"/>
              <w:bottom w:val="single" w:sz="4" w:space="0" w:color="auto"/>
              <w:right w:val="nil"/>
            </w:tcBorders>
            <w:shd w:val="clear" w:color="000000" w:fill="D9D9D9"/>
            <w:vAlign w:val="center"/>
            <w:hideMark/>
          </w:tcPr>
          <w:p w14:paraId="63EC8A1B"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59</w:t>
            </w:r>
          </w:p>
        </w:tc>
        <w:tc>
          <w:tcPr>
            <w:tcW w:w="1749" w:type="dxa"/>
            <w:tcBorders>
              <w:top w:val="nil"/>
              <w:left w:val="nil"/>
              <w:bottom w:val="single" w:sz="4" w:space="0" w:color="262626"/>
              <w:right w:val="nil"/>
            </w:tcBorders>
            <w:shd w:val="clear" w:color="auto" w:fill="auto"/>
            <w:noWrap/>
            <w:vAlign w:val="center"/>
            <w:hideMark/>
          </w:tcPr>
          <w:p w14:paraId="047B2BEB"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235.706 </w:t>
            </w:r>
          </w:p>
        </w:tc>
        <w:tc>
          <w:tcPr>
            <w:tcW w:w="1771" w:type="dxa"/>
            <w:tcBorders>
              <w:top w:val="nil"/>
              <w:left w:val="nil"/>
              <w:bottom w:val="single" w:sz="4" w:space="0" w:color="auto"/>
              <w:right w:val="nil"/>
            </w:tcBorders>
            <w:shd w:val="clear" w:color="000000" w:fill="D9D9D9"/>
            <w:vAlign w:val="center"/>
            <w:hideMark/>
          </w:tcPr>
          <w:p w14:paraId="04507E63"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238.596</w:t>
            </w:r>
          </w:p>
        </w:tc>
        <w:tc>
          <w:tcPr>
            <w:tcW w:w="2300" w:type="dxa"/>
            <w:tcBorders>
              <w:top w:val="nil"/>
              <w:left w:val="nil"/>
              <w:bottom w:val="single" w:sz="4" w:space="0" w:color="262626"/>
              <w:right w:val="nil"/>
            </w:tcBorders>
            <w:shd w:val="clear" w:color="auto" w:fill="auto"/>
            <w:noWrap/>
            <w:vAlign w:val="center"/>
            <w:hideMark/>
          </w:tcPr>
          <w:p w14:paraId="1F0D4F4B"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-1,2 </w:t>
            </w:r>
          </w:p>
        </w:tc>
      </w:tr>
      <w:tr w:rsidR="008423EB" w14:paraId="3CEC36D5" w14:textId="77777777" w:rsidTr="003759BF">
        <w:trPr>
          <w:trHeight w:val="300"/>
        </w:trPr>
        <w:tc>
          <w:tcPr>
            <w:tcW w:w="2020" w:type="dxa"/>
            <w:tcBorders>
              <w:top w:val="nil"/>
              <w:left w:val="nil"/>
              <w:bottom w:val="single" w:sz="4" w:space="0" w:color="auto"/>
              <w:right w:val="nil"/>
            </w:tcBorders>
            <w:shd w:val="clear" w:color="auto" w:fill="auto"/>
            <w:noWrap/>
            <w:vAlign w:val="center"/>
            <w:hideMark/>
          </w:tcPr>
          <w:p w14:paraId="28B085D1" w14:textId="77777777" w:rsidR="008423EB" w:rsidRDefault="008423EB">
            <w:pPr>
              <w:rPr>
                <w:rFonts w:ascii="Arial Narrow" w:hAnsi="Arial Narrow" w:cs="Calibri"/>
                <w:color w:val="000000"/>
                <w:sz w:val="18"/>
                <w:szCs w:val="18"/>
              </w:rPr>
            </w:pPr>
            <w:r>
              <w:rPr>
                <w:rFonts w:ascii="Arial Narrow" w:hAnsi="Arial Narrow" w:cs="Calibri"/>
                <w:color w:val="000000"/>
                <w:sz w:val="18"/>
                <w:szCs w:val="18"/>
              </w:rPr>
              <w:t xml:space="preserve">   Ultraperiferico</w:t>
            </w:r>
          </w:p>
        </w:tc>
        <w:tc>
          <w:tcPr>
            <w:tcW w:w="1760" w:type="dxa"/>
            <w:tcBorders>
              <w:top w:val="nil"/>
              <w:left w:val="nil"/>
              <w:bottom w:val="single" w:sz="4" w:space="0" w:color="auto"/>
              <w:right w:val="nil"/>
            </w:tcBorders>
            <w:shd w:val="clear" w:color="000000" w:fill="D9D9D9"/>
            <w:vAlign w:val="center"/>
            <w:hideMark/>
          </w:tcPr>
          <w:p w14:paraId="170A7068"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51</w:t>
            </w:r>
          </w:p>
        </w:tc>
        <w:tc>
          <w:tcPr>
            <w:tcW w:w="1749" w:type="dxa"/>
            <w:tcBorders>
              <w:top w:val="nil"/>
              <w:left w:val="nil"/>
              <w:bottom w:val="single" w:sz="4" w:space="0" w:color="262626"/>
              <w:right w:val="nil"/>
            </w:tcBorders>
            <w:shd w:val="clear" w:color="auto" w:fill="auto"/>
            <w:noWrap/>
            <w:vAlign w:val="center"/>
            <w:hideMark/>
          </w:tcPr>
          <w:p w14:paraId="0686F238"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97.100 </w:t>
            </w:r>
          </w:p>
        </w:tc>
        <w:tc>
          <w:tcPr>
            <w:tcW w:w="1771" w:type="dxa"/>
            <w:tcBorders>
              <w:top w:val="nil"/>
              <w:left w:val="nil"/>
              <w:bottom w:val="single" w:sz="4" w:space="0" w:color="auto"/>
              <w:right w:val="nil"/>
            </w:tcBorders>
            <w:shd w:val="clear" w:color="000000" w:fill="D9D9D9"/>
            <w:vAlign w:val="center"/>
            <w:hideMark/>
          </w:tcPr>
          <w:p w14:paraId="0206F6CF"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99.352</w:t>
            </w:r>
          </w:p>
        </w:tc>
        <w:tc>
          <w:tcPr>
            <w:tcW w:w="2300" w:type="dxa"/>
            <w:tcBorders>
              <w:top w:val="nil"/>
              <w:left w:val="nil"/>
              <w:bottom w:val="single" w:sz="4" w:space="0" w:color="262626"/>
              <w:right w:val="nil"/>
            </w:tcBorders>
            <w:shd w:val="clear" w:color="auto" w:fill="auto"/>
            <w:noWrap/>
            <w:vAlign w:val="center"/>
            <w:hideMark/>
          </w:tcPr>
          <w:p w14:paraId="603719F8" w14:textId="77777777" w:rsidR="008423EB" w:rsidRDefault="008423EB">
            <w:pPr>
              <w:jc w:val="right"/>
              <w:rPr>
                <w:rFonts w:ascii="Arial Narrow" w:hAnsi="Arial Narrow" w:cs="Calibri"/>
                <w:color w:val="000000"/>
                <w:sz w:val="18"/>
                <w:szCs w:val="18"/>
              </w:rPr>
            </w:pPr>
            <w:r>
              <w:rPr>
                <w:rFonts w:ascii="Arial Narrow" w:hAnsi="Arial Narrow" w:cs="Calibri"/>
                <w:color w:val="000000"/>
                <w:sz w:val="18"/>
                <w:szCs w:val="18"/>
              </w:rPr>
              <w:t xml:space="preserve">-2,3 </w:t>
            </w:r>
          </w:p>
        </w:tc>
      </w:tr>
      <w:tr w:rsidR="008423EB" w14:paraId="0348617F" w14:textId="77777777" w:rsidTr="003759BF">
        <w:trPr>
          <w:trHeight w:val="300"/>
        </w:trPr>
        <w:tc>
          <w:tcPr>
            <w:tcW w:w="2020" w:type="dxa"/>
            <w:tcBorders>
              <w:top w:val="nil"/>
              <w:left w:val="nil"/>
              <w:bottom w:val="single" w:sz="4" w:space="0" w:color="auto"/>
              <w:right w:val="nil"/>
            </w:tcBorders>
            <w:shd w:val="clear" w:color="000000" w:fill="C9321F"/>
            <w:noWrap/>
            <w:vAlign w:val="center"/>
            <w:hideMark/>
          </w:tcPr>
          <w:p w14:paraId="4D005DE6" w14:textId="77777777" w:rsidR="008423EB" w:rsidRDefault="008423EB">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1760" w:type="dxa"/>
            <w:tcBorders>
              <w:top w:val="single" w:sz="4" w:space="0" w:color="auto"/>
              <w:left w:val="nil"/>
              <w:bottom w:val="single" w:sz="4" w:space="0" w:color="auto"/>
              <w:right w:val="nil"/>
            </w:tcBorders>
            <w:shd w:val="clear" w:color="000000" w:fill="C9321F"/>
            <w:vAlign w:val="center"/>
            <w:hideMark/>
          </w:tcPr>
          <w:p w14:paraId="221F1633" w14:textId="77777777" w:rsidR="008423EB" w:rsidRDefault="008423EB">
            <w:pPr>
              <w:jc w:val="right"/>
              <w:rPr>
                <w:rFonts w:ascii="Arial Narrow" w:hAnsi="Arial Narrow" w:cs="Calibri"/>
                <w:b/>
                <w:bCs/>
                <w:color w:val="FFFFFF"/>
                <w:sz w:val="18"/>
                <w:szCs w:val="18"/>
              </w:rPr>
            </w:pPr>
            <w:r>
              <w:rPr>
                <w:rFonts w:ascii="Arial Narrow" w:hAnsi="Arial Narrow" w:cs="Calibri"/>
                <w:b/>
                <w:bCs/>
                <w:color w:val="FFFFFF"/>
                <w:sz w:val="18"/>
                <w:szCs w:val="18"/>
              </w:rPr>
              <w:t>131</w:t>
            </w:r>
          </w:p>
        </w:tc>
        <w:tc>
          <w:tcPr>
            <w:tcW w:w="1749" w:type="dxa"/>
            <w:tcBorders>
              <w:top w:val="nil"/>
              <w:left w:val="nil"/>
              <w:bottom w:val="single" w:sz="4" w:space="0" w:color="262626"/>
              <w:right w:val="nil"/>
            </w:tcBorders>
            <w:shd w:val="clear" w:color="000000" w:fill="C9321F"/>
            <w:noWrap/>
            <w:vAlign w:val="center"/>
            <w:hideMark/>
          </w:tcPr>
          <w:p w14:paraId="1DA36D9C" w14:textId="77777777" w:rsidR="008423EB" w:rsidRDefault="008423EB">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545.130 </w:t>
            </w:r>
          </w:p>
        </w:tc>
        <w:tc>
          <w:tcPr>
            <w:tcW w:w="1771" w:type="dxa"/>
            <w:tcBorders>
              <w:top w:val="single" w:sz="4" w:space="0" w:color="auto"/>
              <w:left w:val="nil"/>
              <w:bottom w:val="single" w:sz="4" w:space="0" w:color="auto"/>
              <w:right w:val="nil"/>
            </w:tcBorders>
            <w:shd w:val="clear" w:color="000000" w:fill="C9321F"/>
            <w:vAlign w:val="center"/>
            <w:hideMark/>
          </w:tcPr>
          <w:p w14:paraId="21B0AD4D" w14:textId="77777777" w:rsidR="008423EB" w:rsidRDefault="008423EB">
            <w:pPr>
              <w:jc w:val="right"/>
              <w:rPr>
                <w:rFonts w:ascii="Arial Narrow" w:hAnsi="Arial Narrow" w:cs="Calibri"/>
                <w:b/>
                <w:bCs/>
                <w:color w:val="FFFFFF"/>
                <w:sz w:val="18"/>
                <w:szCs w:val="18"/>
              </w:rPr>
            </w:pPr>
            <w:r>
              <w:rPr>
                <w:rFonts w:ascii="Arial Narrow" w:hAnsi="Arial Narrow" w:cs="Calibri"/>
                <w:b/>
                <w:bCs/>
                <w:color w:val="FFFFFF"/>
                <w:sz w:val="18"/>
                <w:szCs w:val="18"/>
              </w:rPr>
              <w:t>553.254</w:t>
            </w:r>
          </w:p>
        </w:tc>
        <w:tc>
          <w:tcPr>
            <w:tcW w:w="2300" w:type="dxa"/>
            <w:tcBorders>
              <w:top w:val="nil"/>
              <w:left w:val="nil"/>
              <w:bottom w:val="single" w:sz="4" w:space="0" w:color="262626"/>
              <w:right w:val="nil"/>
            </w:tcBorders>
            <w:shd w:val="clear" w:color="000000" w:fill="C9321F"/>
            <w:noWrap/>
            <w:vAlign w:val="center"/>
            <w:hideMark/>
          </w:tcPr>
          <w:p w14:paraId="11F51C39" w14:textId="77777777" w:rsidR="008423EB" w:rsidRDefault="008423EB">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-1,5 </w:t>
            </w:r>
          </w:p>
        </w:tc>
      </w:tr>
    </w:tbl>
    <w:p w14:paraId="355872F8" w14:textId="77777777" w:rsidR="00366E8D" w:rsidRPr="00366E8D" w:rsidRDefault="00366E8D" w:rsidP="00047761">
      <w:pPr>
        <w:spacing w:after="120"/>
        <w:jc w:val="both"/>
        <w:rPr>
          <w:rFonts w:ascii="Trebuchet MS" w:hAnsi="Trebuchet MS" w:cs="Arial"/>
          <w:color w:val="5F5F5F"/>
          <w:sz w:val="20"/>
          <w:szCs w:val="20"/>
        </w:rPr>
      </w:pPr>
    </w:p>
    <w:p w14:paraId="6FE4AD01" w14:textId="77777777" w:rsidR="009A34C5" w:rsidRDefault="009A34C5" w:rsidP="009A34C5">
      <w:pPr>
        <w:pStyle w:val="Paragrafoelenco"/>
        <w:spacing w:after="120" w:line="240" w:lineRule="auto"/>
        <w:ind w:left="426"/>
        <w:contextualSpacing w:val="0"/>
        <w:jc w:val="both"/>
        <w:rPr>
          <w:rFonts w:ascii="Trebuchet MS" w:hAnsi="Trebuchet MS" w:cs="Arial"/>
          <w:color w:val="5F5F5F"/>
          <w:sz w:val="20"/>
          <w:szCs w:val="20"/>
        </w:rPr>
      </w:pPr>
    </w:p>
    <w:p w14:paraId="2CEE6BD0" w14:textId="77777777" w:rsidR="00F34C96" w:rsidRDefault="00F34C96" w:rsidP="009A34C5">
      <w:pPr>
        <w:pStyle w:val="Paragrafoelenco"/>
        <w:spacing w:after="120" w:line="240" w:lineRule="auto"/>
        <w:ind w:left="426"/>
        <w:contextualSpacing w:val="0"/>
        <w:jc w:val="both"/>
        <w:rPr>
          <w:rFonts w:ascii="Trebuchet MS" w:hAnsi="Trebuchet MS" w:cs="Arial"/>
          <w:color w:val="5F5F5F"/>
          <w:sz w:val="20"/>
          <w:szCs w:val="20"/>
        </w:rPr>
      </w:pPr>
    </w:p>
    <w:p w14:paraId="51AAC528" w14:textId="77777777" w:rsidR="00F34C96" w:rsidRDefault="00F34C96" w:rsidP="009A34C5">
      <w:pPr>
        <w:pStyle w:val="Paragrafoelenco"/>
        <w:spacing w:after="120" w:line="240" w:lineRule="auto"/>
        <w:ind w:left="426"/>
        <w:contextualSpacing w:val="0"/>
        <w:jc w:val="both"/>
        <w:rPr>
          <w:rFonts w:ascii="Trebuchet MS" w:hAnsi="Trebuchet MS" w:cs="Arial"/>
          <w:color w:val="5F5F5F"/>
          <w:sz w:val="20"/>
          <w:szCs w:val="20"/>
        </w:rPr>
      </w:pPr>
    </w:p>
    <w:p w14:paraId="1F5A6B05" w14:textId="77777777" w:rsidR="00F34C96" w:rsidRPr="00A445FC" w:rsidRDefault="00F34C96" w:rsidP="009A34C5">
      <w:pPr>
        <w:pStyle w:val="Paragrafoelenco"/>
        <w:spacing w:after="120" w:line="240" w:lineRule="auto"/>
        <w:ind w:left="426"/>
        <w:contextualSpacing w:val="0"/>
        <w:jc w:val="both"/>
        <w:rPr>
          <w:rFonts w:ascii="Trebuchet MS" w:hAnsi="Trebuchet MS" w:cs="Arial"/>
          <w:color w:val="5F5F5F"/>
          <w:sz w:val="20"/>
          <w:szCs w:val="20"/>
        </w:rPr>
      </w:pPr>
    </w:p>
    <w:p w14:paraId="32CDED36" w14:textId="34B0D17C" w:rsidR="009A34C5" w:rsidRDefault="009A34C5" w:rsidP="009A34C5">
      <w:pPr>
        <w:keepNext/>
        <w:keepLines/>
        <w:spacing w:after="120"/>
        <w:jc w:val="both"/>
        <w:rPr>
          <w:rFonts w:ascii="Arial Narrow" w:hAnsi="Arial Narrow"/>
          <w:color w:val="595959" w:themeColor="text1" w:themeTint="A6"/>
          <w:sz w:val="20"/>
          <w:szCs w:val="20"/>
        </w:rPr>
      </w:pPr>
      <w:r w:rsidRPr="008340B2">
        <w:rPr>
          <w:rFonts w:ascii="Arial Narrow" w:hAnsi="Arial Narrow"/>
          <w:b/>
          <w:bCs/>
          <w:color w:val="595959" w:themeColor="text1" w:themeTint="A6"/>
          <w:sz w:val="22"/>
          <w:szCs w:val="22"/>
        </w:rPr>
        <w:lastRenderedPageBreak/>
        <w:t xml:space="preserve">PROSPETTO </w:t>
      </w:r>
      <w:r w:rsidR="00D74732">
        <w:rPr>
          <w:rFonts w:ascii="Arial Narrow" w:hAnsi="Arial Narrow"/>
          <w:b/>
          <w:bCs/>
          <w:color w:val="595959" w:themeColor="text1" w:themeTint="A6"/>
          <w:sz w:val="22"/>
          <w:szCs w:val="22"/>
        </w:rPr>
        <w:t>13</w:t>
      </w:r>
      <w:r w:rsidRPr="008340B2">
        <w:rPr>
          <w:rFonts w:ascii="Arial Narrow" w:hAnsi="Arial Narrow"/>
          <w:b/>
          <w:bCs/>
          <w:color w:val="595959" w:themeColor="text1" w:themeTint="A6"/>
          <w:sz w:val="22"/>
          <w:szCs w:val="22"/>
        </w:rPr>
        <w:t>.</w:t>
      </w:r>
      <w:r w:rsidRPr="008340B2">
        <w:rPr>
          <w:rFonts w:ascii="Arial" w:hAnsi="Arial" w:cs="Arial"/>
          <w:b/>
          <w:bCs/>
          <w:color w:val="595959" w:themeColor="text1" w:themeTint="A6"/>
          <w:sz w:val="20"/>
          <w:szCs w:val="20"/>
        </w:rPr>
        <w:t xml:space="preserve"> </w:t>
      </w:r>
      <w:r w:rsidRPr="008340B2">
        <w:rPr>
          <w:rFonts w:ascii="Arial Narrow" w:hAnsi="Arial Narrow"/>
          <w:color w:val="595959" w:themeColor="text1" w:themeTint="A6"/>
          <w:sz w:val="22"/>
          <w:szCs w:val="22"/>
        </w:rPr>
        <w:t>INDICATORI SOCIO-DEMOGRAFICI PER CLASSIFICAZIONE DEI COMUNI SECONDO LA STRATEGIA NAZIONALE DELLE AREE INTERNE</w:t>
      </w:r>
      <w:r w:rsidRPr="008340B2">
        <w:rPr>
          <w:rFonts w:ascii="Arial Narrow" w:hAnsi="Arial Narrow"/>
          <w:color w:val="595959" w:themeColor="text1" w:themeTint="A6"/>
          <w:sz w:val="20"/>
          <w:szCs w:val="20"/>
        </w:rPr>
        <w:t>. Censimento 20</w:t>
      </w:r>
      <w:r>
        <w:rPr>
          <w:rFonts w:ascii="Arial Narrow" w:hAnsi="Arial Narrow"/>
          <w:color w:val="595959" w:themeColor="text1" w:themeTint="A6"/>
          <w:sz w:val="20"/>
          <w:szCs w:val="20"/>
        </w:rPr>
        <w:t>20</w:t>
      </w:r>
    </w:p>
    <w:tbl>
      <w:tblPr>
        <w:tblW w:w="9620" w:type="dxa"/>
        <w:tblCellMar>
          <w:left w:w="70" w:type="dxa"/>
          <w:right w:w="70" w:type="dxa"/>
        </w:tblCellMar>
        <w:tblLook w:val="04A0" w:firstRow="1" w:lastRow="0" w:firstColumn="1" w:lastColumn="0" w:noHBand="0" w:noVBand="1"/>
      </w:tblPr>
      <w:tblGrid>
        <w:gridCol w:w="1860"/>
        <w:gridCol w:w="940"/>
        <w:gridCol w:w="1100"/>
        <w:gridCol w:w="960"/>
        <w:gridCol w:w="960"/>
        <w:gridCol w:w="940"/>
        <w:gridCol w:w="940"/>
        <w:gridCol w:w="820"/>
        <w:gridCol w:w="1100"/>
      </w:tblGrid>
      <w:tr w:rsidR="00171A78" w14:paraId="23BC8601" w14:textId="77777777" w:rsidTr="00171A78">
        <w:trPr>
          <w:trHeight w:val="300"/>
        </w:trPr>
        <w:tc>
          <w:tcPr>
            <w:tcW w:w="1860" w:type="dxa"/>
            <w:vMerge w:val="restart"/>
            <w:tcBorders>
              <w:top w:val="single" w:sz="4" w:space="0" w:color="auto"/>
              <w:left w:val="nil"/>
              <w:bottom w:val="single" w:sz="4" w:space="0" w:color="auto"/>
              <w:right w:val="nil"/>
            </w:tcBorders>
            <w:shd w:val="clear" w:color="auto" w:fill="auto"/>
            <w:vAlign w:val="center"/>
            <w:hideMark/>
          </w:tcPr>
          <w:p w14:paraId="1832984F" w14:textId="77777777" w:rsidR="00171A78" w:rsidRDefault="00171A78">
            <w:pPr>
              <w:rPr>
                <w:rFonts w:ascii="Arial Narrow" w:hAnsi="Arial Narrow" w:cs="Calibri"/>
                <w:b/>
                <w:bCs/>
                <w:color w:val="000000"/>
                <w:sz w:val="18"/>
                <w:szCs w:val="18"/>
              </w:rPr>
            </w:pPr>
            <w:r>
              <w:rPr>
                <w:rFonts w:ascii="Arial Narrow" w:hAnsi="Arial Narrow" w:cs="Calibri"/>
                <w:b/>
                <w:bCs/>
                <w:color w:val="000000"/>
                <w:sz w:val="18"/>
                <w:szCs w:val="18"/>
              </w:rPr>
              <w:t>INDICATORI</w:t>
            </w:r>
          </w:p>
        </w:tc>
        <w:tc>
          <w:tcPr>
            <w:tcW w:w="3000" w:type="dxa"/>
            <w:gridSpan w:val="3"/>
            <w:tcBorders>
              <w:top w:val="single" w:sz="4" w:space="0" w:color="auto"/>
              <w:left w:val="nil"/>
              <w:bottom w:val="single" w:sz="4" w:space="0" w:color="auto"/>
              <w:right w:val="nil"/>
            </w:tcBorders>
            <w:shd w:val="clear" w:color="000000" w:fill="D9D9D9"/>
            <w:noWrap/>
            <w:vAlign w:val="center"/>
            <w:hideMark/>
          </w:tcPr>
          <w:p w14:paraId="6809CADD" w14:textId="77777777" w:rsidR="00171A78" w:rsidRDefault="00171A78">
            <w:pPr>
              <w:jc w:val="center"/>
              <w:rPr>
                <w:rFonts w:ascii="Arial Narrow" w:hAnsi="Arial Narrow" w:cs="Calibri"/>
                <w:b/>
                <w:bCs/>
                <w:color w:val="000000"/>
                <w:sz w:val="18"/>
                <w:szCs w:val="18"/>
              </w:rPr>
            </w:pPr>
            <w:r>
              <w:rPr>
                <w:rFonts w:ascii="Arial Narrow" w:hAnsi="Arial Narrow" w:cs="Calibri"/>
                <w:b/>
                <w:bCs/>
                <w:color w:val="000000"/>
                <w:sz w:val="18"/>
                <w:szCs w:val="18"/>
              </w:rPr>
              <w:t>Centri</w:t>
            </w:r>
          </w:p>
        </w:tc>
        <w:tc>
          <w:tcPr>
            <w:tcW w:w="3660" w:type="dxa"/>
            <w:gridSpan w:val="4"/>
            <w:tcBorders>
              <w:top w:val="single" w:sz="4" w:space="0" w:color="auto"/>
              <w:left w:val="nil"/>
              <w:bottom w:val="single" w:sz="4" w:space="0" w:color="auto"/>
              <w:right w:val="nil"/>
            </w:tcBorders>
            <w:shd w:val="clear" w:color="auto" w:fill="auto"/>
            <w:noWrap/>
            <w:vAlign w:val="center"/>
            <w:hideMark/>
          </w:tcPr>
          <w:p w14:paraId="5AB87B04" w14:textId="77777777" w:rsidR="00171A78" w:rsidRDefault="00171A78">
            <w:pPr>
              <w:jc w:val="center"/>
              <w:rPr>
                <w:rFonts w:ascii="Arial Narrow" w:hAnsi="Arial Narrow" w:cs="Calibri"/>
                <w:b/>
                <w:bCs/>
                <w:color w:val="000000"/>
                <w:sz w:val="18"/>
                <w:szCs w:val="18"/>
              </w:rPr>
            </w:pPr>
            <w:r>
              <w:rPr>
                <w:rFonts w:ascii="Arial Narrow" w:hAnsi="Arial Narrow" w:cs="Calibri"/>
                <w:b/>
                <w:bCs/>
                <w:color w:val="000000"/>
                <w:sz w:val="18"/>
                <w:szCs w:val="18"/>
              </w:rPr>
              <w:t>Aree interne</w:t>
            </w:r>
          </w:p>
        </w:tc>
        <w:tc>
          <w:tcPr>
            <w:tcW w:w="1100" w:type="dxa"/>
            <w:vMerge w:val="restart"/>
            <w:tcBorders>
              <w:top w:val="single" w:sz="4" w:space="0" w:color="auto"/>
              <w:left w:val="nil"/>
              <w:bottom w:val="single" w:sz="4" w:space="0" w:color="auto"/>
              <w:right w:val="nil"/>
            </w:tcBorders>
            <w:shd w:val="clear" w:color="000000" w:fill="C9321F"/>
            <w:vAlign w:val="center"/>
            <w:hideMark/>
          </w:tcPr>
          <w:p w14:paraId="72543685"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BASILICATA</w:t>
            </w:r>
          </w:p>
        </w:tc>
      </w:tr>
      <w:tr w:rsidR="00171A78" w14:paraId="2DDFECDB" w14:textId="77777777" w:rsidTr="00171A78">
        <w:trPr>
          <w:trHeight w:val="540"/>
        </w:trPr>
        <w:tc>
          <w:tcPr>
            <w:tcW w:w="1860" w:type="dxa"/>
            <w:vMerge/>
            <w:tcBorders>
              <w:top w:val="single" w:sz="4" w:space="0" w:color="auto"/>
              <w:left w:val="nil"/>
              <w:bottom w:val="single" w:sz="4" w:space="0" w:color="auto"/>
              <w:right w:val="nil"/>
            </w:tcBorders>
            <w:vAlign w:val="center"/>
            <w:hideMark/>
          </w:tcPr>
          <w:p w14:paraId="126D873E" w14:textId="77777777" w:rsidR="00171A78" w:rsidRDefault="00171A78">
            <w:pPr>
              <w:rPr>
                <w:rFonts w:ascii="Arial Narrow" w:hAnsi="Arial Narrow" w:cs="Calibri"/>
                <w:b/>
                <w:bCs/>
                <w:color w:val="000000"/>
                <w:sz w:val="18"/>
                <w:szCs w:val="18"/>
              </w:rPr>
            </w:pPr>
          </w:p>
        </w:tc>
        <w:tc>
          <w:tcPr>
            <w:tcW w:w="940" w:type="dxa"/>
            <w:tcBorders>
              <w:top w:val="single" w:sz="4" w:space="0" w:color="auto"/>
              <w:left w:val="nil"/>
              <w:bottom w:val="single" w:sz="4" w:space="0" w:color="auto"/>
              <w:right w:val="nil"/>
            </w:tcBorders>
            <w:shd w:val="clear" w:color="auto" w:fill="auto"/>
            <w:vAlign w:val="center"/>
            <w:hideMark/>
          </w:tcPr>
          <w:p w14:paraId="0EEA15D1"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Polo</w:t>
            </w:r>
          </w:p>
        </w:tc>
        <w:tc>
          <w:tcPr>
            <w:tcW w:w="1100" w:type="dxa"/>
            <w:tcBorders>
              <w:top w:val="single" w:sz="4" w:space="0" w:color="auto"/>
              <w:left w:val="nil"/>
              <w:bottom w:val="single" w:sz="4" w:space="0" w:color="auto"/>
              <w:right w:val="nil"/>
            </w:tcBorders>
            <w:shd w:val="clear" w:color="auto" w:fill="auto"/>
            <w:vAlign w:val="center"/>
            <w:hideMark/>
          </w:tcPr>
          <w:p w14:paraId="4553A08F"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Cintura</w:t>
            </w:r>
          </w:p>
        </w:tc>
        <w:tc>
          <w:tcPr>
            <w:tcW w:w="960" w:type="dxa"/>
            <w:tcBorders>
              <w:top w:val="single" w:sz="4" w:space="0" w:color="auto"/>
              <w:left w:val="nil"/>
              <w:bottom w:val="single" w:sz="4" w:space="0" w:color="auto"/>
              <w:right w:val="nil"/>
            </w:tcBorders>
            <w:shd w:val="clear" w:color="auto" w:fill="auto"/>
            <w:vAlign w:val="center"/>
            <w:hideMark/>
          </w:tcPr>
          <w:p w14:paraId="3443592E"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c>
          <w:tcPr>
            <w:tcW w:w="960" w:type="dxa"/>
            <w:tcBorders>
              <w:top w:val="single" w:sz="4" w:space="0" w:color="auto"/>
              <w:left w:val="nil"/>
              <w:bottom w:val="single" w:sz="4" w:space="0" w:color="auto"/>
              <w:right w:val="nil"/>
            </w:tcBorders>
            <w:shd w:val="clear" w:color="auto" w:fill="auto"/>
            <w:vAlign w:val="center"/>
            <w:hideMark/>
          </w:tcPr>
          <w:p w14:paraId="16C0FB47"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Intermedio </w:t>
            </w:r>
          </w:p>
        </w:tc>
        <w:tc>
          <w:tcPr>
            <w:tcW w:w="940" w:type="dxa"/>
            <w:tcBorders>
              <w:top w:val="single" w:sz="4" w:space="0" w:color="auto"/>
              <w:left w:val="nil"/>
              <w:bottom w:val="single" w:sz="4" w:space="0" w:color="auto"/>
              <w:right w:val="nil"/>
            </w:tcBorders>
            <w:shd w:val="clear" w:color="auto" w:fill="auto"/>
            <w:vAlign w:val="center"/>
            <w:hideMark/>
          </w:tcPr>
          <w:p w14:paraId="047483CD"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Periferico</w:t>
            </w:r>
          </w:p>
        </w:tc>
        <w:tc>
          <w:tcPr>
            <w:tcW w:w="940" w:type="dxa"/>
            <w:tcBorders>
              <w:top w:val="single" w:sz="4" w:space="0" w:color="auto"/>
              <w:left w:val="nil"/>
              <w:bottom w:val="single" w:sz="4" w:space="0" w:color="auto"/>
              <w:right w:val="nil"/>
            </w:tcBorders>
            <w:shd w:val="clear" w:color="auto" w:fill="auto"/>
            <w:vAlign w:val="center"/>
            <w:hideMark/>
          </w:tcPr>
          <w:p w14:paraId="04F0FB03"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Ultra-periferico</w:t>
            </w:r>
          </w:p>
        </w:tc>
        <w:tc>
          <w:tcPr>
            <w:tcW w:w="820" w:type="dxa"/>
            <w:tcBorders>
              <w:top w:val="single" w:sz="4" w:space="0" w:color="auto"/>
              <w:left w:val="nil"/>
              <w:bottom w:val="single" w:sz="4" w:space="0" w:color="auto"/>
              <w:right w:val="nil"/>
            </w:tcBorders>
            <w:shd w:val="clear" w:color="auto" w:fill="auto"/>
            <w:vAlign w:val="center"/>
            <w:hideMark/>
          </w:tcPr>
          <w:p w14:paraId="2BDA43A9"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c>
          <w:tcPr>
            <w:tcW w:w="1100" w:type="dxa"/>
            <w:vMerge/>
            <w:tcBorders>
              <w:top w:val="single" w:sz="4" w:space="0" w:color="auto"/>
              <w:left w:val="nil"/>
              <w:bottom w:val="single" w:sz="4" w:space="0" w:color="auto"/>
              <w:right w:val="nil"/>
            </w:tcBorders>
            <w:vAlign w:val="center"/>
            <w:hideMark/>
          </w:tcPr>
          <w:p w14:paraId="6F626C41" w14:textId="77777777" w:rsidR="00171A78" w:rsidRDefault="00171A78">
            <w:pPr>
              <w:rPr>
                <w:rFonts w:ascii="Arial Narrow" w:hAnsi="Arial Narrow" w:cs="Calibri"/>
                <w:b/>
                <w:bCs/>
                <w:color w:val="FFFFFF"/>
                <w:sz w:val="18"/>
                <w:szCs w:val="18"/>
              </w:rPr>
            </w:pPr>
          </w:p>
        </w:tc>
      </w:tr>
      <w:tr w:rsidR="00171A78" w14:paraId="73E2B59A" w14:textId="77777777" w:rsidTr="00171A78">
        <w:trPr>
          <w:trHeight w:val="300"/>
        </w:trPr>
        <w:tc>
          <w:tcPr>
            <w:tcW w:w="1860" w:type="dxa"/>
            <w:tcBorders>
              <w:top w:val="single" w:sz="4" w:space="0" w:color="auto"/>
              <w:left w:val="nil"/>
              <w:bottom w:val="single" w:sz="4" w:space="0" w:color="auto"/>
              <w:right w:val="nil"/>
            </w:tcBorders>
            <w:shd w:val="clear" w:color="auto" w:fill="auto"/>
            <w:vAlign w:val="center"/>
            <w:hideMark/>
          </w:tcPr>
          <w:p w14:paraId="028E4F20" w14:textId="77777777" w:rsidR="00171A78" w:rsidRDefault="00171A78">
            <w:pPr>
              <w:rPr>
                <w:rFonts w:ascii="Arial Narrow" w:hAnsi="Arial Narrow" w:cs="Calibri"/>
                <w:color w:val="000000"/>
                <w:sz w:val="18"/>
                <w:szCs w:val="18"/>
              </w:rPr>
            </w:pPr>
            <w:r>
              <w:rPr>
                <w:rFonts w:ascii="Arial Narrow" w:hAnsi="Arial Narrow" w:cs="Calibri"/>
                <w:color w:val="000000"/>
                <w:sz w:val="18"/>
                <w:szCs w:val="18"/>
              </w:rPr>
              <w:t>Età media</w:t>
            </w:r>
          </w:p>
        </w:tc>
        <w:tc>
          <w:tcPr>
            <w:tcW w:w="940" w:type="dxa"/>
            <w:tcBorders>
              <w:top w:val="single" w:sz="4" w:space="0" w:color="auto"/>
              <w:left w:val="nil"/>
              <w:bottom w:val="single" w:sz="4" w:space="0" w:color="auto"/>
              <w:right w:val="nil"/>
            </w:tcBorders>
            <w:shd w:val="clear" w:color="000000" w:fill="D9D9D9"/>
            <w:noWrap/>
            <w:vAlign w:val="center"/>
            <w:hideMark/>
          </w:tcPr>
          <w:p w14:paraId="287E2FA1"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45,7 </w:t>
            </w:r>
          </w:p>
        </w:tc>
        <w:tc>
          <w:tcPr>
            <w:tcW w:w="1100" w:type="dxa"/>
            <w:tcBorders>
              <w:top w:val="single" w:sz="4" w:space="0" w:color="auto"/>
              <w:left w:val="nil"/>
              <w:bottom w:val="single" w:sz="4" w:space="0" w:color="auto"/>
              <w:right w:val="nil"/>
            </w:tcBorders>
            <w:shd w:val="clear" w:color="auto" w:fill="auto"/>
            <w:noWrap/>
            <w:vAlign w:val="center"/>
            <w:hideMark/>
          </w:tcPr>
          <w:p w14:paraId="0BF60564"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43,6 </w:t>
            </w:r>
          </w:p>
        </w:tc>
        <w:tc>
          <w:tcPr>
            <w:tcW w:w="960" w:type="dxa"/>
            <w:tcBorders>
              <w:top w:val="single" w:sz="4" w:space="0" w:color="auto"/>
              <w:left w:val="nil"/>
              <w:bottom w:val="single" w:sz="4" w:space="0" w:color="auto"/>
              <w:right w:val="nil"/>
            </w:tcBorders>
            <w:shd w:val="clear" w:color="000000" w:fill="D9D9D9"/>
            <w:vAlign w:val="center"/>
            <w:hideMark/>
          </w:tcPr>
          <w:p w14:paraId="783985E5"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45,4 </w:t>
            </w:r>
          </w:p>
        </w:tc>
        <w:tc>
          <w:tcPr>
            <w:tcW w:w="960" w:type="dxa"/>
            <w:tcBorders>
              <w:top w:val="single" w:sz="4" w:space="0" w:color="auto"/>
              <w:left w:val="nil"/>
              <w:bottom w:val="single" w:sz="4" w:space="0" w:color="auto"/>
              <w:right w:val="nil"/>
            </w:tcBorders>
            <w:shd w:val="clear" w:color="auto" w:fill="auto"/>
            <w:noWrap/>
            <w:vAlign w:val="center"/>
            <w:hideMark/>
          </w:tcPr>
          <w:p w14:paraId="51D2A7B6"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45,6 </w:t>
            </w:r>
          </w:p>
        </w:tc>
        <w:tc>
          <w:tcPr>
            <w:tcW w:w="940" w:type="dxa"/>
            <w:tcBorders>
              <w:top w:val="single" w:sz="4" w:space="0" w:color="auto"/>
              <w:left w:val="nil"/>
              <w:bottom w:val="single" w:sz="4" w:space="0" w:color="auto"/>
              <w:right w:val="nil"/>
            </w:tcBorders>
            <w:shd w:val="clear" w:color="000000" w:fill="D9D9D9"/>
            <w:vAlign w:val="center"/>
            <w:hideMark/>
          </w:tcPr>
          <w:p w14:paraId="1978E555"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45,9 </w:t>
            </w:r>
          </w:p>
        </w:tc>
        <w:tc>
          <w:tcPr>
            <w:tcW w:w="940" w:type="dxa"/>
            <w:tcBorders>
              <w:top w:val="single" w:sz="4" w:space="0" w:color="auto"/>
              <w:left w:val="nil"/>
              <w:bottom w:val="single" w:sz="4" w:space="0" w:color="auto"/>
              <w:right w:val="nil"/>
            </w:tcBorders>
            <w:shd w:val="clear" w:color="auto" w:fill="auto"/>
            <w:noWrap/>
            <w:vAlign w:val="center"/>
            <w:hideMark/>
          </w:tcPr>
          <w:p w14:paraId="4E02BD27"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47,5 </w:t>
            </w:r>
          </w:p>
        </w:tc>
        <w:tc>
          <w:tcPr>
            <w:tcW w:w="820" w:type="dxa"/>
            <w:tcBorders>
              <w:top w:val="single" w:sz="4" w:space="0" w:color="auto"/>
              <w:left w:val="nil"/>
              <w:bottom w:val="single" w:sz="4" w:space="0" w:color="auto"/>
              <w:right w:val="nil"/>
            </w:tcBorders>
            <w:shd w:val="clear" w:color="000000" w:fill="D9D9D9"/>
            <w:vAlign w:val="center"/>
            <w:hideMark/>
          </w:tcPr>
          <w:p w14:paraId="5A1F61C0"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46,2 </w:t>
            </w:r>
          </w:p>
        </w:tc>
        <w:tc>
          <w:tcPr>
            <w:tcW w:w="1100" w:type="dxa"/>
            <w:tcBorders>
              <w:top w:val="single" w:sz="4" w:space="0" w:color="auto"/>
              <w:left w:val="nil"/>
              <w:bottom w:val="single" w:sz="4" w:space="0" w:color="auto"/>
              <w:right w:val="nil"/>
            </w:tcBorders>
            <w:shd w:val="clear" w:color="000000" w:fill="C9321F"/>
            <w:noWrap/>
            <w:vAlign w:val="center"/>
            <w:hideMark/>
          </w:tcPr>
          <w:p w14:paraId="00F5E1C3"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46,0</w:t>
            </w:r>
          </w:p>
        </w:tc>
      </w:tr>
      <w:tr w:rsidR="00171A78" w14:paraId="1BBEB5B7" w14:textId="77777777" w:rsidTr="00171A78">
        <w:trPr>
          <w:trHeight w:val="300"/>
        </w:trPr>
        <w:tc>
          <w:tcPr>
            <w:tcW w:w="1860" w:type="dxa"/>
            <w:tcBorders>
              <w:top w:val="single" w:sz="4" w:space="0" w:color="auto"/>
              <w:left w:val="nil"/>
              <w:bottom w:val="single" w:sz="4" w:space="0" w:color="auto"/>
              <w:right w:val="nil"/>
            </w:tcBorders>
            <w:shd w:val="clear" w:color="auto" w:fill="auto"/>
            <w:vAlign w:val="center"/>
            <w:hideMark/>
          </w:tcPr>
          <w:p w14:paraId="5B5DC4E3" w14:textId="77777777" w:rsidR="00171A78" w:rsidRDefault="00171A78">
            <w:pPr>
              <w:rPr>
                <w:rFonts w:ascii="Arial Narrow" w:hAnsi="Arial Narrow" w:cs="Calibri"/>
                <w:color w:val="000000"/>
                <w:sz w:val="18"/>
                <w:szCs w:val="18"/>
              </w:rPr>
            </w:pPr>
            <w:r>
              <w:rPr>
                <w:rFonts w:ascii="Arial Narrow" w:hAnsi="Arial Narrow" w:cs="Calibri"/>
                <w:color w:val="000000"/>
                <w:sz w:val="18"/>
                <w:szCs w:val="18"/>
              </w:rPr>
              <w:t>Indice di vecchiaia</w:t>
            </w:r>
          </w:p>
        </w:tc>
        <w:tc>
          <w:tcPr>
            <w:tcW w:w="940" w:type="dxa"/>
            <w:tcBorders>
              <w:top w:val="single" w:sz="4" w:space="0" w:color="auto"/>
              <w:left w:val="nil"/>
              <w:bottom w:val="single" w:sz="4" w:space="0" w:color="auto"/>
              <w:right w:val="nil"/>
            </w:tcBorders>
            <w:shd w:val="clear" w:color="000000" w:fill="D9D9D9"/>
            <w:noWrap/>
            <w:vAlign w:val="center"/>
            <w:hideMark/>
          </w:tcPr>
          <w:p w14:paraId="37572C14"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193,8 </w:t>
            </w:r>
          </w:p>
        </w:tc>
        <w:tc>
          <w:tcPr>
            <w:tcW w:w="1100" w:type="dxa"/>
            <w:tcBorders>
              <w:top w:val="single" w:sz="4" w:space="0" w:color="auto"/>
              <w:left w:val="nil"/>
              <w:bottom w:val="single" w:sz="4" w:space="0" w:color="auto"/>
              <w:right w:val="nil"/>
            </w:tcBorders>
            <w:shd w:val="clear" w:color="auto" w:fill="auto"/>
            <w:noWrap/>
            <w:vAlign w:val="center"/>
            <w:hideMark/>
          </w:tcPr>
          <w:p w14:paraId="2642DF86"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138,9 </w:t>
            </w:r>
          </w:p>
        </w:tc>
        <w:tc>
          <w:tcPr>
            <w:tcW w:w="960" w:type="dxa"/>
            <w:tcBorders>
              <w:top w:val="single" w:sz="4" w:space="0" w:color="auto"/>
              <w:left w:val="nil"/>
              <w:bottom w:val="single" w:sz="4" w:space="0" w:color="auto"/>
              <w:right w:val="nil"/>
            </w:tcBorders>
            <w:shd w:val="clear" w:color="000000" w:fill="D9D9D9"/>
            <w:vAlign w:val="center"/>
            <w:hideMark/>
          </w:tcPr>
          <w:p w14:paraId="6E85CC80"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185,4 </w:t>
            </w:r>
          </w:p>
        </w:tc>
        <w:tc>
          <w:tcPr>
            <w:tcW w:w="960" w:type="dxa"/>
            <w:tcBorders>
              <w:top w:val="single" w:sz="4" w:space="0" w:color="auto"/>
              <w:left w:val="nil"/>
              <w:bottom w:val="single" w:sz="4" w:space="0" w:color="auto"/>
              <w:right w:val="nil"/>
            </w:tcBorders>
            <w:shd w:val="clear" w:color="auto" w:fill="auto"/>
            <w:noWrap/>
            <w:vAlign w:val="center"/>
            <w:hideMark/>
          </w:tcPr>
          <w:p w14:paraId="1E034CE1"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197,9 </w:t>
            </w:r>
          </w:p>
        </w:tc>
        <w:tc>
          <w:tcPr>
            <w:tcW w:w="940" w:type="dxa"/>
            <w:tcBorders>
              <w:top w:val="single" w:sz="4" w:space="0" w:color="auto"/>
              <w:left w:val="nil"/>
              <w:bottom w:val="single" w:sz="4" w:space="0" w:color="auto"/>
              <w:right w:val="nil"/>
            </w:tcBorders>
            <w:shd w:val="clear" w:color="000000" w:fill="D9D9D9"/>
            <w:vAlign w:val="center"/>
            <w:hideMark/>
          </w:tcPr>
          <w:p w14:paraId="7FA9094F"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206,3 </w:t>
            </w:r>
          </w:p>
        </w:tc>
        <w:tc>
          <w:tcPr>
            <w:tcW w:w="940" w:type="dxa"/>
            <w:tcBorders>
              <w:top w:val="single" w:sz="4" w:space="0" w:color="auto"/>
              <w:left w:val="nil"/>
              <w:bottom w:val="single" w:sz="4" w:space="0" w:color="auto"/>
              <w:right w:val="nil"/>
            </w:tcBorders>
            <w:shd w:val="clear" w:color="auto" w:fill="auto"/>
            <w:noWrap/>
            <w:vAlign w:val="center"/>
            <w:hideMark/>
          </w:tcPr>
          <w:p w14:paraId="12D71709"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251,5 </w:t>
            </w:r>
          </w:p>
        </w:tc>
        <w:tc>
          <w:tcPr>
            <w:tcW w:w="820" w:type="dxa"/>
            <w:tcBorders>
              <w:top w:val="single" w:sz="4" w:space="0" w:color="auto"/>
              <w:left w:val="nil"/>
              <w:bottom w:val="single" w:sz="4" w:space="0" w:color="auto"/>
              <w:right w:val="nil"/>
            </w:tcBorders>
            <w:shd w:val="clear" w:color="000000" w:fill="D9D9D9"/>
            <w:vAlign w:val="center"/>
            <w:hideMark/>
          </w:tcPr>
          <w:p w14:paraId="609B6725"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215,0 </w:t>
            </w:r>
          </w:p>
        </w:tc>
        <w:tc>
          <w:tcPr>
            <w:tcW w:w="1100" w:type="dxa"/>
            <w:tcBorders>
              <w:top w:val="single" w:sz="4" w:space="0" w:color="auto"/>
              <w:left w:val="nil"/>
              <w:bottom w:val="single" w:sz="4" w:space="0" w:color="auto"/>
              <w:right w:val="nil"/>
            </w:tcBorders>
            <w:shd w:val="clear" w:color="000000" w:fill="C9321F"/>
            <w:noWrap/>
            <w:vAlign w:val="center"/>
            <w:hideMark/>
          </w:tcPr>
          <w:p w14:paraId="44D0DD18"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206,6</w:t>
            </w:r>
          </w:p>
        </w:tc>
      </w:tr>
      <w:tr w:rsidR="00171A78" w14:paraId="393983EF" w14:textId="77777777" w:rsidTr="00171A78">
        <w:trPr>
          <w:trHeight w:val="540"/>
        </w:trPr>
        <w:tc>
          <w:tcPr>
            <w:tcW w:w="1860" w:type="dxa"/>
            <w:tcBorders>
              <w:top w:val="single" w:sz="4" w:space="0" w:color="auto"/>
              <w:left w:val="nil"/>
              <w:bottom w:val="single" w:sz="4" w:space="0" w:color="auto"/>
              <w:right w:val="nil"/>
            </w:tcBorders>
            <w:shd w:val="clear" w:color="auto" w:fill="auto"/>
            <w:vAlign w:val="center"/>
            <w:hideMark/>
          </w:tcPr>
          <w:p w14:paraId="7E4DF8B4" w14:textId="77777777" w:rsidR="00171A78" w:rsidRDefault="00171A78">
            <w:pPr>
              <w:rPr>
                <w:rFonts w:ascii="Arial Narrow" w:hAnsi="Arial Narrow" w:cs="Calibri"/>
                <w:color w:val="000000"/>
                <w:sz w:val="18"/>
                <w:szCs w:val="18"/>
              </w:rPr>
            </w:pPr>
            <w:r>
              <w:rPr>
                <w:rFonts w:ascii="Arial Narrow" w:hAnsi="Arial Narrow" w:cs="Calibri"/>
                <w:color w:val="000000"/>
                <w:sz w:val="18"/>
                <w:szCs w:val="18"/>
              </w:rPr>
              <w:t>Indice di struttura della popolazione attiva</w:t>
            </w:r>
          </w:p>
        </w:tc>
        <w:tc>
          <w:tcPr>
            <w:tcW w:w="940" w:type="dxa"/>
            <w:tcBorders>
              <w:top w:val="single" w:sz="4" w:space="0" w:color="auto"/>
              <w:left w:val="nil"/>
              <w:bottom w:val="single" w:sz="4" w:space="0" w:color="auto"/>
              <w:right w:val="nil"/>
            </w:tcBorders>
            <w:shd w:val="clear" w:color="000000" w:fill="D9D9D9"/>
            <w:noWrap/>
            <w:vAlign w:val="center"/>
            <w:hideMark/>
          </w:tcPr>
          <w:p w14:paraId="104B1FAF"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141,8 </w:t>
            </w:r>
          </w:p>
        </w:tc>
        <w:tc>
          <w:tcPr>
            <w:tcW w:w="1100" w:type="dxa"/>
            <w:tcBorders>
              <w:top w:val="single" w:sz="4" w:space="0" w:color="auto"/>
              <w:left w:val="nil"/>
              <w:bottom w:val="single" w:sz="4" w:space="0" w:color="auto"/>
              <w:right w:val="nil"/>
            </w:tcBorders>
            <w:shd w:val="clear" w:color="auto" w:fill="auto"/>
            <w:noWrap/>
            <w:vAlign w:val="center"/>
            <w:hideMark/>
          </w:tcPr>
          <w:p w14:paraId="2D0B2DA7"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139,0 </w:t>
            </w:r>
          </w:p>
        </w:tc>
        <w:tc>
          <w:tcPr>
            <w:tcW w:w="960" w:type="dxa"/>
            <w:tcBorders>
              <w:top w:val="single" w:sz="4" w:space="0" w:color="auto"/>
              <w:left w:val="nil"/>
              <w:bottom w:val="single" w:sz="4" w:space="0" w:color="auto"/>
              <w:right w:val="nil"/>
            </w:tcBorders>
            <w:shd w:val="clear" w:color="000000" w:fill="D9D9D9"/>
            <w:vAlign w:val="center"/>
            <w:hideMark/>
          </w:tcPr>
          <w:p w14:paraId="20E33889"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141,4 </w:t>
            </w:r>
          </w:p>
        </w:tc>
        <w:tc>
          <w:tcPr>
            <w:tcW w:w="960" w:type="dxa"/>
            <w:tcBorders>
              <w:top w:val="single" w:sz="4" w:space="0" w:color="auto"/>
              <w:left w:val="nil"/>
              <w:bottom w:val="single" w:sz="4" w:space="0" w:color="auto"/>
              <w:right w:val="nil"/>
            </w:tcBorders>
            <w:shd w:val="clear" w:color="auto" w:fill="auto"/>
            <w:noWrap/>
            <w:vAlign w:val="center"/>
            <w:hideMark/>
          </w:tcPr>
          <w:p w14:paraId="47FCA394"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132,7 </w:t>
            </w:r>
          </w:p>
        </w:tc>
        <w:tc>
          <w:tcPr>
            <w:tcW w:w="940" w:type="dxa"/>
            <w:tcBorders>
              <w:top w:val="single" w:sz="4" w:space="0" w:color="auto"/>
              <w:left w:val="nil"/>
              <w:bottom w:val="single" w:sz="4" w:space="0" w:color="auto"/>
              <w:right w:val="nil"/>
            </w:tcBorders>
            <w:shd w:val="clear" w:color="000000" w:fill="D9D9D9"/>
            <w:vAlign w:val="center"/>
            <w:hideMark/>
          </w:tcPr>
          <w:p w14:paraId="421C4D5E"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132,6 </w:t>
            </w:r>
          </w:p>
        </w:tc>
        <w:tc>
          <w:tcPr>
            <w:tcW w:w="940" w:type="dxa"/>
            <w:tcBorders>
              <w:top w:val="single" w:sz="4" w:space="0" w:color="auto"/>
              <w:left w:val="nil"/>
              <w:bottom w:val="single" w:sz="4" w:space="0" w:color="auto"/>
              <w:right w:val="nil"/>
            </w:tcBorders>
            <w:shd w:val="clear" w:color="auto" w:fill="auto"/>
            <w:noWrap/>
            <w:vAlign w:val="center"/>
            <w:hideMark/>
          </w:tcPr>
          <w:p w14:paraId="52D0D881"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137,3 </w:t>
            </w:r>
          </w:p>
        </w:tc>
        <w:tc>
          <w:tcPr>
            <w:tcW w:w="820" w:type="dxa"/>
            <w:tcBorders>
              <w:top w:val="single" w:sz="4" w:space="0" w:color="auto"/>
              <w:left w:val="nil"/>
              <w:bottom w:val="single" w:sz="4" w:space="0" w:color="auto"/>
              <w:right w:val="nil"/>
            </w:tcBorders>
            <w:shd w:val="clear" w:color="000000" w:fill="D9D9D9"/>
            <w:vAlign w:val="center"/>
            <w:hideMark/>
          </w:tcPr>
          <w:p w14:paraId="310EA009"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133,7 </w:t>
            </w:r>
          </w:p>
        </w:tc>
        <w:tc>
          <w:tcPr>
            <w:tcW w:w="1100" w:type="dxa"/>
            <w:tcBorders>
              <w:top w:val="single" w:sz="4" w:space="0" w:color="auto"/>
              <w:left w:val="nil"/>
              <w:bottom w:val="single" w:sz="4" w:space="0" w:color="auto"/>
              <w:right w:val="nil"/>
            </w:tcBorders>
            <w:shd w:val="clear" w:color="000000" w:fill="C9321F"/>
            <w:noWrap/>
            <w:vAlign w:val="center"/>
            <w:hideMark/>
          </w:tcPr>
          <w:p w14:paraId="191E4493"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135,7</w:t>
            </w:r>
          </w:p>
        </w:tc>
      </w:tr>
      <w:tr w:rsidR="00171A78" w14:paraId="11CBCEBD" w14:textId="77777777" w:rsidTr="00171A78">
        <w:trPr>
          <w:trHeight w:val="810"/>
        </w:trPr>
        <w:tc>
          <w:tcPr>
            <w:tcW w:w="1860" w:type="dxa"/>
            <w:tcBorders>
              <w:top w:val="single" w:sz="4" w:space="0" w:color="auto"/>
              <w:left w:val="nil"/>
              <w:bottom w:val="single" w:sz="4" w:space="0" w:color="auto"/>
              <w:right w:val="nil"/>
            </w:tcBorders>
            <w:shd w:val="clear" w:color="auto" w:fill="auto"/>
            <w:vAlign w:val="center"/>
            <w:hideMark/>
          </w:tcPr>
          <w:p w14:paraId="6E873B11" w14:textId="77777777" w:rsidR="00171A78" w:rsidRDefault="00171A78">
            <w:pPr>
              <w:rPr>
                <w:rFonts w:ascii="Arial Narrow" w:hAnsi="Arial Narrow" w:cs="Calibri"/>
                <w:color w:val="000000"/>
                <w:sz w:val="18"/>
                <w:szCs w:val="18"/>
              </w:rPr>
            </w:pPr>
            <w:r>
              <w:rPr>
                <w:rFonts w:ascii="Arial Narrow" w:hAnsi="Arial Narrow" w:cs="Calibri"/>
                <w:color w:val="000000"/>
                <w:sz w:val="18"/>
                <w:szCs w:val="18"/>
              </w:rPr>
              <w:t>% Popolazione con titolo di studio di scuola sec. di II grado</w:t>
            </w:r>
          </w:p>
        </w:tc>
        <w:tc>
          <w:tcPr>
            <w:tcW w:w="940" w:type="dxa"/>
            <w:tcBorders>
              <w:top w:val="single" w:sz="4" w:space="0" w:color="auto"/>
              <w:left w:val="nil"/>
              <w:bottom w:val="single" w:sz="4" w:space="0" w:color="auto"/>
              <w:right w:val="nil"/>
            </w:tcBorders>
            <w:shd w:val="clear" w:color="000000" w:fill="D9D9D9"/>
            <w:noWrap/>
            <w:vAlign w:val="center"/>
            <w:hideMark/>
          </w:tcPr>
          <w:p w14:paraId="54F1F3CF"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38,8 </w:t>
            </w:r>
          </w:p>
        </w:tc>
        <w:tc>
          <w:tcPr>
            <w:tcW w:w="1100" w:type="dxa"/>
            <w:tcBorders>
              <w:top w:val="single" w:sz="4" w:space="0" w:color="auto"/>
              <w:left w:val="nil"/>
              <w:bottom w:val="single" w:sz="4" w:space="0" w:color="auto"/>
              <w:right w:val="nil"/>
            </w:tcBorders>
            <w:shd w:val="clear" w:color="auto" w:fill="auto"/>
            <w:noWrap/>
            <w:vAlign w:val="center"/>
            <w:hideMark/>
          </w:tcPr>
          <w:p w14:paraId="6123371F"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36,0 </w:t>
            </w:r>
          </w:p>
        </w:tc>
        <w:tc>
          <w:tcPr>
            <w:tcW w:w="960" w:type="dxa"/>
            <w:tcBorders>
              <w:top w:val="single" w:sz="4" w:space="0" w:color="auto"/>
              <w:left w:val="nil"/>
              <w:bottom w:val="single" w:sz="4" w:space="0" w:color="auto"/>
              <w:right w:val="nil"/>
            </w:tcBorders>
            <w:shd w:val="clear" w:color="000000" w:fill="D9D9D9"/>
            <w:vAlign w:val="center"/>
            <w:hideMark/>
          </w:tcPr>
          <w:p w14:paraId="1F0681D2"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38,5 </w:t>
            </w:r>
          </w:p>
        </w:tc>
        <w:tc>
          <w:tcPr>
            <w:tcW w:w="960" w:type="dxa"/>
            <w:tcBorders>
              <w:top w:val="single" w:sz="4" w:space="0" w:color="auto"/>
              <w:left w:val="nil"/>
              <w:bottom w:val="single" w:sz="4" w:space="0" w:color="auto"/>
              <w:right w:val="nil"/>
            </w:tcBorders>
            <w:shd w:val="clear" w:color="auto" w:fill="auto"/>
            <w:noWrap/>
            <w:vAlign w:val="center"/>
            <w:hideMark/>
          </w:tcPr>
          <w:p w14:paraId="57AF1BCC"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34,8 </w:t>
            </w:r>
          </w:p>
        </w:tc>
        <w:tc>
          <w:tcPr>
            <w:tcW w:w="940" w:type="dxa"/>
            <w:tcBorders>
              <w:top w:val="single" w:sz="4" w:space="0" w:color="auto"/>
              <w:left w:val="nil"/>
              <w:bottom w:val="single" w:sz="4" w:space="0" w:color="auto"/>
              <w:right w:val="nil"/>
            </w:tcBorders>
            <w:shd w:val="clear" w:color="000000" w:fill="D9D9D9"/>
            <w:vAlign w:val="center"/>
            <w:hideMark/>
          </w:tcPr>
          <w:p w14:paraId="73CA3806"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35,2 </w:t>
            </w:r>
          </w:p>
        </w:tc>
        <w:tc>
          <w:tcPr>
            <w:tcW w:w="940" w:type="dxa"/>
            <w:tcBorders>
              <w:top w:val="single" w:sz="4" w:space="0" w:color="auto"/>
              <w:left w:val="nil"/>
              <w:bottom w:val="single" w:sz="4" w:space="0" w:color="auto"/>
              <w:right w:val="nil"/>
            </w:tcBorders>
            <w:shd w:val="clear" w:color="auto" w:fill="auto"/>
            <w:noWrap/>
            <w:vAlign w:val="center"/>
            <w:hideMark/>
          </w:tcPr>
          <w:p w14:paraId="2FD432FF"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34,5 </w:t>
            </w:r>
          </w:p>
        </w:tc>
        <w:tc>
          <w:tcPr>
            <w:tcW w:w="820" w:type="dxa"/>
            <w:tcBorders>
              <w:top w:val="single" w:sz="4" w:space="0" w:color="auto"/>
              <w:left w:val="nil"/>
              <w:bottom w:val="single" w:sz="4" w:space="0" w:color="auto"/>
              <w:right w:val="nil"/>
            </w:tcBorders>
            <w:shd w:val="clear" w:color="000000" w:fill="D9D9D9"/>
            <w:vAlign w:val="center"/>
            <w:hideMark/>
          </w:tcPr>
          <w:p w14:paraId="7AB51B01"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35,0 </w:t>
            </w:r>
          </w:p>
        </w:tc>
        <w:tc>
          <w:tcPr>
            <w:tcW w:w="1100" w:type="dxa"/>
            <w:tcBorders>
              <w:top w:val="single" w:sz="4" w:space="0" w:color="auto"/>
              <w:left w:val="nil"/>
              <w:bottom w:val="single" w:sz="4" w:space="0" w:color="auto"/>
              <w:right w:val="nil"/>
            </w:tcBorders>
            <w:shd w:val="clear" w:color="000000" w:fill="C9321F"/>
            <w:noWrap/>
            <w:vAlign w:val="center"/>
            <w:hideMark/>
          </w:tcPr>
          <w:p w14:paraId="10D9E250"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35,9</w:t>
            </w:r>
          </w:p>
        </w:tc>
      </w:tr>
      <w:tr w:rsidR="00171A78" w14:paraId="15A8B3A8" w14:textId="77777777" w:rsidTr="00171A78">
        <w:trPr>
          <w:trHeight w:val="540"/>
        </w:trPr>
        <w:tc>
          <w:tcPr>
            <w:tcW w:w="1860" w:type="dxa"/>
            <w:tcBorders>
              <w:top w:val="single" w:sz="4" w:space="0" w:color="auto"/>
              <w:left w:val="nil"/>
              <w:bottom w:val="single" w:sz="4" w:space="0" w:color="auto"/>
              <w:right w:val="nil"/>
            </w:tcBorders>
            <w:shd w:val="clear" w:color="auto" w:fill="auto"/>
            <w:vAlign w:val="center"/>
            <w:hideMark/>
          </w:tcPr>
          <w:p w14:paraId="52C6DA90" w14:textId="77777777" w:rsidR="00171A78" w:rsidRDefault="00171A78">
            <w:pPr>
              <w:rPr>
                <w:rFonts w:ascii="Arial Narrow" w:hAnsi="Arial Narrow" w:cs="Calibri"/>
                <w:color w:val="000000"/>
                <w:sz w:val="18"/>
                <w:szCs w:val="18"/>
              </w:rPr>
            </w:pPr>
            <w:r>
              <w:rPr>
                <w:rFonts w:ascii="Arial Narrow" w:hAnsi="Arial Narrow" w:cs="Calibri"/>
                <w:color w:val="000000"/>
                <w:sz w:val="18"/>
                <w:szCs w:val="18"/>
              </w:rPr>
              <w:t>% Popolazione con titolo di studio terziario</w:t>
            </w:r>
          </w:p>
        </w:tc>
        <w:tc>
          <w:tcPr>
            <w:tcW w:w="940" w:type="dxa"/>
            <w:tcBorders>
              <w:top w:val="single" w:sz="4" w:space="0" w:color="auto"/>
              <w:left w:val="nil"/>
              <w:bottom w:val="single" w:sz="4" w:space="0" w:color="auto"/>
              <w:right w:val="nil"/>
            </w:tcBorders>
            <w:shd w:val="clear" w:color="000000" w:fill="D9D9D9"/>
            <w:noWrap/>
            <w:vAlign w:val="center"/>
            <w:hideMark/>
          </w:tcPr>
          <w:p w14:paraId="31BB9F1B"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20,5 </w:t>
            </w:r>
          </w:p>
        </w:tc>
        <w:tc>
          <w:tcPr>
            <w:tcW w:w="1100" w:type="dxa"/>
            <w:tcBorders>
              <w:top w:val="single" w:sz="4" w:space="0" w:color="auto"/>
              <w:left w:val="nil"/>
              <w:bottom w:val="single" w:sz="4" w:space="0" w:color="auto"/>
              <w:right w:val="nil"/>
            </w:tcBorders>
            <w:shd w:val="clear" w:color="auto" w:fill="auto"/>
            <w:noWrap/>
            <w:vAlign w:val="center"/>
            <w:hideMark/>
          </w:tcPr>
          <w:p w14:paraId="05D38BA7"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13,4 </w:t>
            </w:r>
          </w:p>
        </w:tc>
        <w:tc>
          <w:tcPr>
            <w:tcW w:w="960" w:type="dxa"/>
            <w:tcBorders>
              <w:top w:val="single" w:sz="4" w:space="0" w:color="auto"/>
              <w:left w:val="nil"/>
              <w:bottom w:val="single" w:sz="4" w:space="0" w:color="auto"/>
              <w:right w:val="nil"/>
            </w:tcBorders>
            <w:shd w:val="clear" w:color="000000" w:fill="D9D9D9"/>
            <w:vAlign w:val="center"/>
            <w:hideMark/>
          </w:tcPr>
          <w:p w14:paraId="1FA14C07"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19,6 </w:t>
            </w:r>
          </w:p>
        </w:tc>
        <w:tc>
          <w:tcPr>
            <w:tcW w:w="960" w:type="dxa"/>
            <w:tcBorders>
              <w:top w:val="single" w:sz="4" w:space="0" w:color="auto"/>
              <w:left w:val="nil"/>
              <w:bottom w:val="single" w:sz="4" w:space="0" w:color="auto"/>
              <w:right w:val="nil"/>
            </w:tcBorders>
            <w:shd w:val="clear" w:color="auto" w:fill="auto"/>
            <w:noWrap/>
            <w:vAlign w:val="center"/>
            <w:hideMark/>
          </w:tcPr>
          <w:p w14:paraId="09EE7187"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11,7 </w:t>
            </w:r>
          </w:p>
        </w:tc>
        <w:tc>
          <w:tcPr>
            <w:tcW w:w="940" w:type="dxa"/>
            <w:tcBorders>
              <w:top w:val="single" w:sz="4" w:space="0" w:color="auto"/>
              <w:left w:val="nil"/>
              <w:bottom w:val="single" w:sz="4" w:space="0" w:color="auto"/>
              <w:right w:val="nil"/>
            </w:tcBorders>
            <w:shd w:val="clear" w:color="000000" w:fill="D9D9D9"/>
            <w:vAlign w:val="center"/>
            <w:hideMark/>
          </w:tcPr>
          <w:p w14:paraId="1B85F860"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12,4 </w:t>
            </w:r>
          </w:p>
        </w:tc>
        <w:tc>
          <w:tcPr>
            <w:tcW w:w="940" w:type="dxa"/>
            <w:tcBorders>
              <w:top w:val="single" w:sz="4" w:space="0" w:color="auto"/>
              <w:left w:val="nil"/>
              <w:bottom w:val="single" w:sz="4" w:space="0" w:color="auto"/>
              <w:right w:val="nil"/>
            </w:tcBorders>
            <w:shd w:val="clear" w:color="auto" w:fill="auto"/>
            <w:noWrap/>
            <w:vAlign w:val="center"/>
            <w:hideMark/>
          </w:tcPr>
          <w:p w14:paraId="7D96346B"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11,7 </w:t>
            </w:r>
          </w:p>
        </w:tc>
        <w:tc>
          <w:tcPr>
            <w:tcW w:w="820" w:type="dxa"/>
            <w:tcBorders>
              <w:top w:val="single" w:sz="4" w:space="0" w:color="auto"/>
              <w:left w:val="nil"/>
              <w:bottom w:val="single" w:sz="4" w:space="0" w:color="auto"/>
              <w:right w:val="nil"/>
            </w:tcBorders>
            <w:shd w:val="clear" w:color="000000" w:fill="D9D9D9"/>
            <w:vAlign w:val="center"/>
            <w:hideMark/>
          </w:tcPr>
          <w:p w14:paraId="0665D9E5"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12,1 </w:t>
            </w:r>
          </w:p>
        </w:tc>
        <w:tc>
          <w:tcPr>
            <w:tcW w:w="1100" w:type="dxa"/>
            <w:tcBorders>
              <w:top w:val="single" w:sz="4" w:space="0" w:color="auto"/>
              <w:left w:val="nil"/>
              <w:bottom w:val="single" w:sz="4" w:space="0" w:color="auto"/>
              <w:right w:val="nil"/>
            </w:tcBorders>
            <w:shd w:val="clear" w:color="000000" w:fill="C9321F"/>
            <w:noWrap/>
            <w:vAlign w:val="center"/>
            <w:hideMark/>
          </w:tcPr>
          <w:p w14:paraId="0C64E4C3"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14,1</w:t>
            </w:r>
          </w:p>
        </w:tc>
      </w:tr>
      <w:tr w:rsidR="00171A78" w14:paraId="23994D06" w14:textId="77777777" w:rsidTr="00171A78">
        <w:trPr>
          <w:trHeight w:val="1125"/>
        </w:trPr>
        <w:tc>
          <w:tcPr>
            <w:tcW w:w="1860" w:type="dxa"/>
            <w:tcBorders>
              <w:top w:val="single" w:sz="4" w:space="0" w:color="auto"/>
              <w:left w:val="nil"/>
              <w:bottom w:val="single" w:sz="4" w:space="0" w:color="auto"/>
              <w:right w:val="nil"/>
            </w:tcBorders>
            <w:shd w:val="clear" w:color="auto" w:fill="auto"/>
            <w:vAlign w:val="center"/>
            <w:hideMark/>
          </w:tcPr>
          <w:p w14:paraId="0400EAF5" w14:textId="77777777" w:rsidR="00171A78" w:rsidRDefault="00171A78">
            <w:pPr>
              <w:rPr>
                <w:rFonts w:ascii="Arial Narrow" w:hAnsi="Arial Narrow" w:cs="Calibri"/>
                <w:color w:val="000000"/>
                <w:sz w:val="18"/>
                <w:szCs w:val="18"/>
              </w:rPr>
            </w:pPr>
            <w:r>
              <w:rPr>
                <w:rFonts w:ascii="Arial Narrow" w:hAnsi="Arial Narrow" w:cs="Calibri"/>
                <w:color w:val="000000"/>
                <w:sz w:val="18"/>
                <w:szCs w:val="18"/>
              </w:rPr>
              <w:t>% Popolazione che si sposta giornalmente – incidenza sul totale della popolazione residente</w:t>
            </w:r>
            <w:r>
              <w:rPr>
                <w:rFonts w:ascii="Arial Narrow" w:hAnsi="Arial Narrow" w:cs="Calibri"/>
                <w:color w:val="000000"/>
                <w:sz w:val="18"/>
                <w:szCs w:val="18"/>
                <w:vertAlign w:val="superscript"/>
              </w:rPr>
              <w:t>(a)</w:t>
            </w:r>
          </w:p>
        </w:tc>
        <w:tc>
          <w:tcPr>
            <w:tcW w:w="940" w:type="dxa"/>
            <w:tcBorders>
              <w:top w:val="single" w:sz="4" w:space="0" w:color="auto"/>
              <w:left w:val="nil"/>
              <w:bottom w:val="single" w:sz="4" w:space="0" w:color="auto"/>
              <w:right w:val="nil"/>
            </w:tcBorders>
            <w:shd w:val="clear" w:color="000000" w:fill="D9D9D9"/>
            <w:noWrap/>
            <w:vAlign w:val="center"/>
            <w:hideMark/>
          </w:tcPr>
          <w:p w14:paraId="324271F3"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50,3 </w:t>
            </w:r>
          </w:p>
        </w:tc>
        <w:tc>
          <w:tcPr>
            <w:tcW w:w="1100" w:type="dxa"/>
            <w:tcBorders>
              <w:top w:val="single" w:sz="4" w:space="0" w:color="auto"/>
              <w:left w:val="nil"/>
              <w:bottom w:val="single" w:sz="4" w:space="0" w:color="auto"/>
              <w:right w:val="nil"/>
            </w:tcBorders>
            <w:shd w:val="clear" w:color="auto" w:fill="auto"/>
            <w:noWrap/>
            <w:vAlign w:val="center"/>
            <w:hideMark/>
          </w:tcPr>
          <w:p w14:paraId="3A1A52EA"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48,0 </w:t>
            </w:r>
          </w:p>
        </w:tc>
        <w:tc>
          <w:tcPr>
            <w:tcW w:w="960" w:type="dxa"/>
            <w:tcBorders>
              <w:top w:val="single" w:sz="4" w:space="0" w:color="auto"/>
              <w:left w:val="nil"/>
              <w:bottom w:val="single" w:sz="4" w:space="0" w:color="auto"/>
              <w:right w:val="nil"/>
            </w:tcBorders>
            <w:shd w:val="clear" w:color="000000" w:fill="D9D9D9"/>
            <w:vAlign w:val="center"/>
            <w:hideMark/>
          </w:tcPr>
          <w:p w14:paraId="1EEBBA78"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50,0 </w:t>
            </w:r>
          </w:p>
        </w:tc>
        <w:tc>
          <w:tcPr>
            <w:tcW w:w="960" w:type="dxa"/>
            <w:tcBorders>
              <w:top w:val="single" w:sz="4" w:space="0" w:color="auto"/>
              <w:left w:val="nil"/>
              <w:bottom w:val="single" w:sz="4" w:space="0" w:color="auto"/>
              <w:right w:val="nil"/>
            </w:tcBorders>
            <w:shd w:val="clear" w:color="auto" w:fill="auto"/>
            <w:noWrap/>
            <w:vAlign w:val="center"/>
            <w:hideMark/>
          </w:tcPr>
          <w:p w14:paraId="545D50CE"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45,2 </w:t>
            </w:r>
          </w:p>
        </w:tc>
        <w:tc>
          <w:tcPr>
            <w:tcW w:w="940" w:type="dxa"/>
            <w:tcBorders>
              <w:top w:val="single" w:sz="4" w:space="0" w:color="auto"/>
              <w:left w:val="nil"/>
              <w:bottom w:val="single" w:sz="4" w:space="0" w:color="auto"/>
              <w:right w:val="nil"/>
            </w:tcBorders>
            <w:shd w:val="clear" w:color="000000" w:fill="D9D9D9"/>
            <w:vAlign w:val="center"/>
            <w:hideMark/>
          </w:tcPr>
          <w:p w14:paraId="1AF1C60E"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42,7 </w:t>
            </w:r>
          </w:p>
        </w:tc>
        <w:tc>
          <w:tcPr>
            <w:tcW w:w="940" w:type="dxa"/>
            <w:tcBorders>
              <w:top w:val="single" w:sz="4" w:space="0" w:color="auto"/>
              <w:left w:val="nil"/>
              <w:bottom w:val="single" w:sz="4" w:space="0" w:color="auto"/>
              <w:right w:val="nil"/>
            </w:tcBorders>
            <w:shd w:val="clear" w:color="auto" w:fill="auto"/>
            <w:noWrap/>
            <w:vAlign w:val="center"/>
            <w:hideMark/>
          </w:tcPr>
          <w:p w14:paraId="4847CB0C"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39,5 </w:t>
            </w:r>
          </w:p>
        </w:tc>
        <w:tc>
          <w:tcPr>
            <w:tcW w:w="820" w:type="dxa"/>
            <w:tcBorders>
              <w:top w:val="single" w:sz="4" w:space="0" w:color="auto"/>
              <w:left w:val="nil"/>
              <w:bottom w:val="single" w:sz="4" w:space="0" w:color="auto"/>
              <w:right w:val="nil"/>
            </w:tcBorders>
            <w:shd w:val="clear" w:color="000000" w:fill="D9D9D9"/>
            <w:vAlign w:val="center"/>
            <w:hideMark/>
          </w:tcPr>
          <w:p w14:paraId="05455B89"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42,3 </w:t>
            </w:r>
          </w:p>
        </w:tc>
        <w:tc>
          <w:tcPr>
            <w:tcW w:w="1100" w:type="dxa"/>
            <w:tcBorders>
              <w:top w:val="single" w:sz="4" w:space="0" w:color="auto"/>
              <w:left w:val="nil"/>
              <w:bottom w:val="single" w:sz="4" w:space="0" w:color="auto"/>
              <w:right w:val="nil"/>
            </w:tcBorders>
            <w:shd w:val="clear" w:color="000000" w:fill="C9321F"/>
            <w:noWrap/>
            <w:vAlign w:val="center"/>
            <w:hideMark/>
          </w:tcPr>
          <w:p w14:paraId="50D557E2"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44,4</w:t>
            </w:r>
          </w:p>
        </w:tc>
      </w:tr>
      <w:tr w:rsidR="00171A78" w14:paraId="6D809B32" w14:textId="77777777" w:rsidTr="00171A78">
        <w:trPr>
          <w:trHeight w:val="1125"/>
        </w:trPr>
        <w:tc>
          <w:tcPr>
            <w:tcW w:w="1860" w:type="dxa"/>
            <w:tcBorders>
              <w:top w:val="single" w:sz="4" w:space="0" w:color="auto"/>
              <w:left w:val="nil"/>
              <w:bottom w:val="single" w:sz="4" w:space="0" w:color="auto"/>
              <w:right w:val="nil"/>
            </w:tcBorders>
            <w:shd w:val="clear" w:color="auto" w:fill="auto"/>
            <w:vAlign w:val="center"/>
            <w:hideMark/>
          </w:tcPr>
          <w:p w14:paraId="4B2CA370" w14:textId="77777777" w:rsidR="00171A78" w:rsidRDefault="00171A78">
            <w:pPr>
              <w:rPr>
                <w:rFonts w:ascii="Arial Narrow" w:hAnsi="Arial Narrow" w:cs="Calibri"/>
                <w:color w:val="000000"/>
                <w:sz w:val="18"/>
                <w:szCs w:val="18"/>
              </w:rPr>
            </w:pPr>
            <w:r>
              <w:rPr>
                <w:rFonts w:ascii="Arial Narrow" w:hAnsi="Arial Narrow" w:cs="Calibri"/>
                <w:color w:val="000000"/>
                <w:sz w:val="18"/>
                <w:szCs w:val="18"/>
              </w:rPr>
              <w:t xml:space="preserve">% Popolazione che si sposta fuori dal comune– incidenza sul totale degli spostamenti </w:t>
            </w:r>
            <w:r>
              <w:rPr>
                <w:rFonts w:ascii="Arial Narrow" w:hAnsi="Arial Narrow" w:cs="Calibri"/>
                <w:color w:val="000000"/>
                <w:sz w:val="18"/>
                <w:szCs w:val="18"/>
                <w:vertAlign w:val="superscript"/>
              </w:rPr>
              <w:t>(a)</w:t>
            </w:r>
          </w:p>
        </w:tc>
        <w:tc>
          <w:tcPr>
            <w:tcW w:w="940" w:type="dxa"/>
            <w:tcBorders>
              <w:top w:val="single" w:sz="4" w:space="0" w:color="auto"/>
              <w:left w:val="nil"/>
              <w:bottom w:val="single" w:sz="4" w:space="0" w:color="auto"/>
              <w:right w:val="nil"/>
            </w:tcBorders>
            <w:shd w:val="clear" w:color="000000" w:fill="D9D9D9"/>
            <w:noWrap/>
            <w:vAlign w:val="center"/>
            <w:hideMark/>
          </w:tcPr>
          <w:p w14:paraId="0A86EBBD"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10,7 </w:t>
            </w:r>
          </w:p>
        </w:tc>
        <w:tc>
          <w:tcPr>
            <w:tcW w:w="1100" w:type="dxa"/>
            <w:tcBorders>
              <w:top w:val="single" w:sz="4" w:space="0" w:color="auto"/>
              <w:left w:val="nil"/>
              <w:bottom w:val="single" w:sz="4" w:space="0" w:color="auto"/>
              <w:right w:val="nil"/>
            </w:tcBorders>
            <w:shd w:val="clear" w:color="auto" w:fill="auto"/>
            <w:noWrap/>
            <w:vAlign w:val="center"/>
            <w:hideMark/>
          </w:tcPr>
          <w:p w14:paraId="750E6249"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58,2 </w:t>
            </w:r>
          </w:p>
        </w:tc>
        <w:tc>
          <w:tcPr>
            <w:tcW w:w="960" w:type="dxa"/>
            <w:tcBorders>
              <w:top w:val="single" w:sz="4" w:space="0" w:color="auto"/>
              <w:left w:val="nil"/>
              <w:bottom w:val="single" w:sz="4" w:space="0" w:color="auto"/>
              <w:right w:val="nil"/>
            </w:tcBorders>
            <w:shd w:val="clear" w:color="000000" w:fill="D9D9D9"/>
            <w:vAlign w:val="center"/>
            <w:hideMark/>
          </w:tcPr>
          <w:p w14:paraId="43DD864D"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16,9 </w:t>
            </w:r>
          </w:p>
        </w:tc>
        <w:tc>
          <w:tcPr>
            <w:tcW w:w="960" w:type="dxa"/>
            <w:tcBorders>
              <w:top w:val="single" w:sz="4" w:space="0" w:color="auto"/>
              <w:left w:val="nil"/>
              <w:bottom w:val="single" w:sz="4" w:space="0" w:color="auto"/>
              <w:right w:val="nil"/>
            </w:tcBorders>
            <w:shd w:val="clear" w:color="auto" w:fill="auto"/>
            <w:noWrap/>
            <w:vAlign w:val="center"/>
            <w:hideMark/>
          </w:tcPr>
          <w:p w14:paraId="24761483"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45,1 </w:t>
            </w:r>
          </w:p>
        </w:tc>
        <w:tc>
          <w:tcPr>
            <w:tcW w:w="940" w:type="dxa"/>
            <w:tcBorders>
              <w:top w:val="single" w:sz="4" w:space="0" w:color="auto"/>
              <w:left w:val="nil"/>
              <w:bottom w:val="single" w:sz="4" w:space="0" w:color="auto"/>
              <w:right w:val="nil"/>
            </w:tcBorders>
            <w:shd w:val="clear" w:color="000000" w:fill="D9D9D9"/>
            <w:vAlign w:val="center"/>
            <w:hideMark/>
          </w:tcPr>
          <w:p w14:paraId="60FDA594"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33,4 </w:t>
            </w:r>
          </w:p>
        </w:tc>
        <w:tc>
          <w:tcPr>
            <w:tcW w:w="940" w:type="dxa"/>
            <w:tcBorders>
              <w:top w:val="single" w:sz="4" w:space="0" w:color="auto"/>
              <w:left w:val="nil"/>
              <w:bottom w:val="single" w:sz="4" w:space="0" w:color="auto"/>
              <w:right w:val="nil"/>
            </w:tcBorders>
            <w:shd w:val="clear" w:color="auto" w:fill="auto"/>
            <w:noWrap/>
            <w:vAlign w:val="center"/>
            <w:hideMark/>
          </w:tcPr>
          <w:p w14:paraId="7DC5FD3F" w14:textId="77777777" w:rsidR="00171A78" w:rsidRDefault="00171A78">
            <w:pPr>
              <w:jc w:val="right"/>
              <w:rPr>
                <w:rFonts w:ascii="Arial Narrow" w:hAnsi="Arial Narrow" w:cs="Calibri"/>
                <w:color w:val="000000"/>
                <w:sz w:val="18"/>
                <w:szCs w:val="18"/>
              </w:rPr>
            </w:pPr>
            <w:r>
              <w:rPr>
                <w:rFonts w:ascii="Arial Narrow" w:hAnsi="Arial Narrow" w:cs="Calibri"/>
                <w:color w:val="000000"/>
                <w:sz w:val="18"/>
                <w:szCs w:val="18"/>
              </w:rPr>
              <w:t xml:space="preserve">            34,9 </w:t>
            </w:r>
          </w:p>
        </w:tc>
        <w:tc>
          <w:tcPr>
            <w:tcW w:w="820" w:type="dxa"/>
            <w:tcBorders>
              <w:top w:val="single" w:sz="4" w:space="0" w:color="auto"/>
              <w:left w:val="nil"/>
              <w:bottom w:val="single" w:sz="4" w:space="0" w:color="auto"/>
              <w:right w:val="nil"/>
            </w:tcBorders>
            <w:shd w:val="clear" w:color="000000" w:fill="D9D9D9"/>
            <w:vAlign w:val="center"/>
            <w:hideMark/>
          </w:tcPr>
          <w:p w14:paraId="2F915BF7" w14:textId="77777777" w:rsidR="00171A78" w:rsidRDefault="00171A7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35,8 </w:t>
            </w:r>
          </w:p>
        </w:tc>
        <w:tc>
          <w:tcPr>
            <w:tcW w:w="1100" w:type="dxa"/>
            <w:tcBorders>
              <w:top w:val="single" w:sz="4" w:space="0" w:color="auto"/>
              <w:left w:val="nil"/>
              <w:bottom w:val="single" w:sz="4" w:space="0" w:color="auto"/>
              <w:right w:val="nil"/>
            </w:tcBorders>
            <w:shd w:val="clear" w:color="000000" w:fill="C9321F"/>
            <w:noWrap/>
            <w:vAlign w:val="center"/>
            <w:hideMark/>
          </w:tcPr>
          <w:p w14:paraId="7681D2CB" w14:textId="77777777" w:rsidR="00171A78" w:rsidRDefault="00171A78">
            <w:pPr>
              <w:jc w:val="right"/>
              <w:rPr>
                <w:rFonts w:ascii="Arial Narrow" w:hAnsi="Arial Narrow" w:cs="Calibri"/>
                <w:b/>
                <w:bCs/>
                <w:color w:val="FFFFFF"/>
                <w:sz w:val="18"/>
                <w:szCs w:val="18"/>
              </w:rPr>
            </w:pPr>
            <w:r>
              <w:rPr>
                <w:rFonts w:ascii="Arial Narrow" w:hAnsi="Arial Narrow" w:cs="Calibri"/>
                <w:b/>
                <w:bCs/>
                <w:color w:val="FFFFFF"/>
                <w:sz w:val="18"/>
                <w:szCs w:val="18"/>
              </w:rPr>
              <w:t>30,1</w:t>
            </w:r>
          </w:p>
        </w:tc>
      </w:tr>
    </w:tbl>
    <w:p w14:paraId="3F130427" w14:textId="2BADB4D3" w:rsidR="009A34C5" w:rsidRDefault="0069134D" w:rsidP="00F04198">
      <w:pPr>
        <w:keepNext/>
        <w:keepLines/>
        <w:spacing w:before="60"/>
        <w:jc w:val="both"/>
        <w:rPr>
          <w:rFonts w:ascii="Arial Narrow" w:hAnsi="Arial Narrow" w:cs="Calibri"/>
          <w:color w:val="000000"/>
          <w:sz w:val="16"/>
          <w:szCs w:val="16"/>
        </w:rPr>
      </w:pPr>
      <w:r w:rsidRPr="00F04198">
        <w:rPr>
          <w:rFonts w:ascii="Arial Narrow" w:hAnsi="Arial Narrow" w:cs="Calibri"/>
          <w:color w:val="000000"/>
          <w:sz w:val="16"/>
          <w:szCs w:val="16"/>
          <w:vertAlign w:val="superscript"/>
        </w:rPr>
        <w:t xml:space="preserve"> </w:t>
      </w:r>
      <w:r w:rsidR="00F04198" w:rsidRPr="00F04198">
        <w:rPr>
          <w:rFonts w:ascii="Arial Narrow" w:hAnsi="Arial Narrow" w:cs="Calibri"/>
          <w:color w:val="000000"/>
          <w:sz w:val="16"/>
          <w:szCs w:val="16"/>
          <w:vertAlign w:val="superscript"/>
        </w:rPr>
        <w:t>(a)</w:t>
      </w:r>
      <w:proofErr w:type="spellStart"/>
      <w:r w:rsidR="009A34C5" w:rsidRPr="00F04198">
        <w:rPr>
          <w:rFonts w:ascii="Arial Narrow" w:hAnsi="Arial Narrow" w:cs="Calibri"/>
          <w:color w:val="000000"/>
          <w:sz w:val="16"/>
          <w:szCs w:val="16"/>
        </w:rPr>
        <w:t>l</w:t>
      </w:r>
      <w:r w:rsidR="008C0254">
        <w:rPr>
          <w:rFonts w:ascii="Arial Narrow" w:hAnsi="Arial Narrow" w:cs="Calibri"/>
          <w:color w:val="000000"/>
          <w:sz w:val="16"/>
          <w:szCs w:val="16"/>
        </w:rPr>
        <w:t>l</w:t>
      </w:r>
      <w:proofErr w:type="spellEnd"/>
      <w:r w:rsidR="009A34C5" w:rsidRPr="00F04198">
        <w:rPr>
          <w:rFonts w:ascii="Arial Narrow" w:hAnsi="Arial Narrow" w:cs="Calibri"/>
          <w:color w:val="000000"/>
          <w:sz w:val="16"/>
          <w:szCs w:val="16"/>
        </w:rPr>
        <w:t xml:space="preserve"> dato è riferito all’anno 2019</w:t>
      </w:r>
    </w:p>
    <w:p w14:paraId="41FED838" w14:textId="3A0D1E09" w:rsidR="00D62435" w:rsidRDefault="00D62435" w:rsidP="00F04198">
      <w:pPr>
        <w:keepNext/>
        <w:keepLines/>
        <w:spacing w:before="60"/>
        <w:jc w:val="both"/>
        <w:rPr>
          <w:rFonts w:ascii="Arial Narrow" w:hAnsi="Arial Narrow" w:cs="Calibri"/>
          <w:color w:val="000000"/>
          <w:sz w:val="16"/>
          <w:szCs w:val="16"/>
        </w:rPr>
      </w:pPr>
      <w:r>
        <w:rPr>
          <w:rFonts w:ascii="Arial Narrow" w:hAnsi="Arial Narrow" w:cs="Calibri"/>
          <w:color w:val="000000"/>
          <w:sz w:val="16"/>
          <w:szCs w:val="16"/>
        </w:rPr>
        <w:br w:type="page"/>
      </w:r>
    </w:p>
    <w:p w14:paraId="310D0F89" w14:textId="77777777" w:rsidR="00D62435" w:rsidRDefault="00D62435" w:rsidP="00D62435">
      <w:pPr>
        <w:spacing w:before="60" w:after="120"/>
        <w:jc w:val="both"/>
        <w:rPr>
          <w:rFonts w:ascii="Trebuchet MS" w:hAnsi="Trebuchet MS" w:cs="Arial"/>
          <w:color w:val="5F5F5F"/>
          <w:sz w:val="28"/>
          <w:szCs w:val="28"/>
        </w:rPr>
      </w:pPr>
      <w:r>
        <w:rPr>
          <w:rFonts w:ascii="Trebuchet MS" w:hAnsi="Trebuchet MS" w:cs="Arial"/>
          <w:color w:val="5F5F5F"/>
          <w:sz w:val="28"/>
          <w:szCs w:val="28"/>
        </w:rPr>
        <w:lastRenderedPageBreak/>
        <w:t xml:space="preserve">Glossario </w:t>
      </w:r>
    </w:p>
    <w:p w14:paraId="5D19B7FC" w14:textId="77777777" w:rsidR="00D62435" w:rsidRDefault="00D62435" w:rsidP="00D62435">
      <w:pPr>
        <w:spacing w:before="60" w:after="120"/>
        <w:jc w:val="both"/>
        <w:rPr>
          <w:rFonts w:ascii="Trebuchet MS" w:hAnsi="Trebuchet MS" w:cs="Arial"/>
          <w:b/>
          <w:bCs/>
          <w:color w:val="5F5F5F"/>
          <w:sz w:val="20"/>
          <w:szCs w:val="20"/>
        </w:rPr>
      </w:pPr>
    </w:p>
    <w:p w14:paraId="3EB427BF"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Alfabeti privi di titolo di studio</w:t>
      </w:r>
      <w:r>
        <w:rPr>
          <w:rFonts w:ascii="Trebuchet MS" w:hAnsi="Trebuchet MS" w:cs="Arial"/>
          <w:bCs/>
          <w:color w:val="5F5F5F"/>
          <w:sz w:val="20"/>
          <w:szCs w:val="20"/>
        </w:rPr>
        <w:t>: coloro che hanno dichiarato di sapere leggere e scrivere, pur non avendo conseguito la licenza di scuola elementare.</w:t>
      </w:r>
    </w:p>
    <w:p w14:paraId="2065A521"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Analfabeti: </w:t>
      </w:r>
      <w:r>
        <w:rPr>
          <w:rFonts w:ascii="Trebuchet MS" w:hAnsi="Trebuchet MS" w:cs="Arial"/>
          <w:bCs/>
          <w:color w:val="5F5F5F"/>
          <w:sz w:val="20"/>
          <w:szCs w:val="20"/>
        </w:rPr>
        <w:t>coloro che hanno dichiarato di non sapere leggere o scrivere.</w:t>
      </w:r>
    </w:p>
    <w:p w14:paraId="767C9530" w14:textId="77777777" w:rsidR="00D62435" w:rsidRDefault="00D62435" w:rsidP="00D62435">
      <w:pPr>
        <w:jc w:val="both"/>
        <w:rPr>
          <w:rFonts w:ascii="Trebuchet MS" w:hAnsi="Trebuchet MS" w:cs="Arial"/>
          <w:bCs/>
          <w:color w:val="5F5F5F"/>
          <w:sz w:val="20"/>
          <w:szCs w:val="20"/>
        </w:rPr>
      </w:pPr>
      <w:r>
        <w:rPr>
          <w:rFonts w:ascii="Trebuchet MS" w:hAnsi="Trebuchet MS" w:cs="Arial"/>
          <w:b/>
          <w:bCs/>
          <w:color w:val="5F5F5F"/>
          <w:sz w:val="20"/>
          <w:szCs w:val="20"/>
        </w:rPr>
        <w:t xml:space="preserve">Cittadinanza: </w:t>
      </w:r>
      <w:r>
        <w:rPr>
          <w:rFonts w:ascii="Trebuchet MS" w:hAnsi="Trebuchet MS" w:cs="Arial"/>
          <w:bCs/>
          <w:color w:val="5F5F5F"/>
          <w:sz w:val="20"/>
          <w:szCs w:val="20"/>
        </w:rPr>
        <w:t>vincolo giuridico tra un individuo e lo Stato di appartenenza che garantisce il godimento di diritti e l’assoggettamento a particolari oneri. Viene acquisito per nascita o per naturalizzazione, mediante dichiarazione, opzione, matrimonio o altre modalità previste dalla legislazione nazionale. Ad una persona con cittadinanza doppia o multipla, nella rilevazione censuaria va assegnato un unico paese di cittadinanza, da determinare con il seguente ordine di precedenza:</w:t>
      </w:r>
    </w:p>
    <w:p w14:paraId="2474471A" w14:textId="77777777" w:rsidR="00D62435" w:rsidRDefault="00D62435" w:rsidP="00D62435">
      <w:pPr>
        <w:pStyle w:val="Paragrafoelenco"/>
        <w:numPr>
          <w:ilvl w:val="0"/>
          <w:numId w:val="37"/>
        </w:numPr>
        <w:spacing w:after="0" w:line="240" w:lineRule="auto"/>
        <w:jc w:val="both"/>
        <w:rPr>
          <w:rFonts w:ascii="Trebuchet MS" w:hAnsi="Trebuchet MS" w:cs="Arial"/>
          <w:bCs/>
          <w:color w:val="5F5F5F"/>
          <w:sz w:val="20"/>
          <w:szCs w:val="20"/>
        </w:rPr>
      </w:pPr>
      <w:r>
        <w:rPr>
          <w:rFonts w:ascii="Trebuchet MS" w:hAnsi="Trebuchet MS" w:cs="Arial"/>
          <w:bCs/>
          <w:color w:val="5F5F5F"/>
          <w:sz w:val="20"/>
          <w:szCs w:val="20"/>
        </w:rPr>
        <w:t>paese dichiarante; o</w:t>
      </w:r>
    </w:p>
    <w:p w14:paraId="1BD8833E" w14:textId="77777777" w:rsidR="00D62435" w:rsidRDefault="00D62435" w:rsidP="00D62435">
      <w:pPr>
        <w:pStyle w:val="Paragrafoelenco"/>
        <w:numPr>
          <w:ilvl w:val="0"/>
          <w:numId w:val="37"/>
        </w:numPr>
        <w:spacing w:after="0" w:line="240" w:lineRule="auto"/>
        <w:jc w:val="both"/>
        <w:rPr>
          <w:rFonts w:ascii="Trebuchet MS" w:hAnsi="Trebuchet MS" w:cs="Arial"/>
          <w:bCs/>
          <w:color w:val="5F5F5F"/>
          <w:sz w:val="20"/>
          <w:szCs w:val="20"/>
        </w:rPr>
      </w:pPr>
      <w:r>
        <w:rPr>
          <w:rFonts w:ascii="Trebuchet MS" w:hAnsi="Trebuchet MS" w:cs="Arial"/>
          <w:bCs/>
          <w:color w:val="5F5F5F"/>
          <w:sz w:val="20"/>
          <w:szCs w:val="20"/>
        </w:rPr>
        <w:t>se la persona non ha la cittadinanza del paese dichiarante: altro Stato membro dell'Ue; o</w:t>
      </w:r>
    </w:p>
    <w:p w14:paraId="5C2FB059" w14:textId="77777777" w:rsidR="00D62435" w:rsidRDefault="00D62435" w:rsidP="00D62435">
      <w:pPr>
        <w:pStyle w:val="Paragrafoelenco"/>
        <w:numPr>
          <w:ilvl w:val="0"/>
          <w:numId w:val="37"/>
        </w:numPr>
        <w:spacing w:after="0" w:line="240" w:lineRule="auto"/>
        <w:jc w:val="both"/>
        <w:rPr>
          <w:rFonts w:ascii="Trebuchet MS" w:hAnsi="Trebuchet MS" w:cs="Arial"/>
          <w:bCs/>
          <w:color w:val="5F5F5F"/>
          <w:sz w:val="20"/>
          <w:szCs w:val="20"/>
        </w:rPr>
      </w:pPr>
      <w:r>
        <w:rPr>
          <w:rFonts w:ascii="Trebuchet MS" w:hAnsi="Trebuchet MS" w:cs="Arial"/>
          <w:bCs/>
          <w:color w:val="5F5F5F"/>
          <w:sz w:val="20"/>
          <w:szCs w:val="20"/>
        </w:rPr>
        <w:t>se la persona non ha la cittadinanza di un altro Stato membro dell'Ue: altro paese non membro dell'Unione europea.</w:t>
      </w:r>
    </w:p>
    <w:p w14:paraId="2C8D2378"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Cs/>
          <w:color w:val="5F5F5F"/>
          <w:sz w:val="20"/>
          <w:szCs w:val="20"/>
        </w:rPr>
        <w:t>Per "Stato membro dell'Ue" si intende un paese che è membro dell'Unione europea al tempo di riferimento dell’indagine. Nei casi di doppia cittadinanza, in cui entrambi i paesi sono Stati membri dell'Unione europea ma nessuno è il paese dichiarante, gli Stati membri determinano il paese di cittadinanza da assegnare.</w:t>
      </w:r>
    </w:p>
    <w:p w14:paraId="3D9683F7"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Diploma di istruzione secondaria di I grado (licenza media o avviamento professionale): </w:t>
      </w:r>
      <w:r>
        <w:rPr>
          <w:rFonts w:ascii="Trebuchet MS" w:hAnsi="Trebuchet MS" w:cs="Arial"/>
          <w:bCs/>
          <w:color w:val="5F5F5F"/>
          <w:sz w:val="20"/>
          <w:szCs w:val="20"/>
        </w:rPr>
        <w:t>titolo di studio conseguito al completamento dei corsi di scuola secondaria di I grado e dopo il superamento dell’esame di stato conclusivo del primo ciclo d’istruzione.</w:t>
      </w:r>
    </w:p>
    <w:p w14:paraId="52517E9C"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Diploma di istruzione secondaria di II grado: comprende i diplomi di 4-5 anni (ex diploma di maturità) e i diplomi di qualifica professionale di 2-3 anni. </w:t>
      </w:r>
      <w:r>
        <w:rPr>
          <w:rFonts w:ascii="Trebuchet MS" w:hAnsi="Trebuchet MS" w:cs="Arial"/>
          <w:bCs/>
          <w:color w:val="5F5F5F"/>
          <w:sz w:val="20"/>
          <w:szCs w:val="20"/>
        </w:rPr>
        <w:t>I diplomi di 4-5 anni comprendono i titoli di studio conseguiti al termine di un percorso di studi secondari di II grado, attualmente della durata di 5 anni e dopo il superamento dell’esame di stato conclusivo del secondo ciclo di istruzione. Il titolo permette l’iscrizione ad un corso di studi universitari. Per accedere ai corsi è richiesto il diploma di scuola secondaria di I grado. I diplomi di qualifica professionale di 2-3 anni comprendono i titoli di studio conseguiti al termine di un percorso di studi secondario di II grado di durata non superiore a 3 anni (istituti professionali, istituti d’arte, scuola magistrale), che non permette l’iscrizione ad un corso di studi universitario.</w:t>
      </w:r>
    </w:p>
    <w:p w14:paraId="1B730562"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Dottorato di ricerca/diploma accademico di formazione alla ricerca: </w:t>
      </w:r>
      <w:r>
        <w:rPr>
          <w:rFonts w:ascii="Trebuchet MS" w:hAnsi="Trebuchet MS" w:cs="Arial"/>
          <w:bCs/>
          <w:color w:val="5F5F5F"/>
          <w:sz w:val="20"/>
          <w:szCs w:val="20"/>
        </w:rPr>
        <w:t>titolo di studio che si consegue dopo un corso di almeno 3 anni. Per accedere a tali corsi è necessario possedere una laurea magistrale/specialistica. Il diploma accademico di formazione alla ricerca si consegue dopo un corso di tre anni. Per accedere a tali corsi è necessario possedere il diploma accademico di II livello.</w:t>
      </w:r>
    </w:p>
    <w:p w14:paraId="26A24ADB"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Età media della popolazione: </w:t>
      </w:r>
      <w:r>
        <w:rPr>
          <w:rFonts w:ascii="Trebuchet MS" w:hAnsi="Trebuchet MS" w:cs="Arial"/>
          <w:bCs/>
          <w:color w:val="5F5F5F"/>
          <w:sz w:val="20"/>
          <w:szCs w:val="20"/>
        </w:rPr>
        <w:t>l'età media della popolazione residente a una certa data, espressa in anni e decimi di anno. È ottenuta come media ponderata con pesi pari all'ammontare della popolazione in ciascuna classe di età.</w:t>
      </w:r>
    </w:p>
    <w:p w14:paraId="3B1E8D9F" w14:textId="77777777" w:rsidR="00D62435" w:rsidRPr="004E2FD7"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Famiglia: </w:t>
      </w:r>
      <w:r w:rsidRPr="00AE565E">
        <w:rPr>
          <w:rFonts w:ascii="Trebuchet MS" w:hAnsi="Trebuchet MS" w:cs="Arial"/>
          <w:bCs/>
          <w:color w:val="5F5F5F"/>
          <w:sz w:val="20"/>
          <w:szCs w:val="20"/>
        </w:rPr>
        <w:t xml:space="preserve">insieme di persone legate da vincoli di matrimonio, parentela, </w:t>
      </w:r>
      <w:proofErr w:type="spellStart"/>
      <w:r w:rsidRPr="00AE565E">
        <w:rPr>
          <w:rFonts w:ascii="Trebuchet MS" w:hAnsi="Trebuchet MS" w:cs="Arial"/>
          <w:bCs/>
          <w:color w:val="5F5F5F"/>
          <w:sz w:val="20"/>
          <w:szCs w:val="20"/>
        </w:rPr>
        <w:t>afﬁnità</w:t>
      </w:r>
      <w:proofErr w:type="spellEnd"/>
      <w:r w:rsidRPr="00AE565E">
        <w:rPr>
          <w:rFonts w:ascii="Trebuchet MS" w:hAnsi="Trebuchet MS" w:cs="Arial"/>
          <w:bCs/>
          <w:color w:val="5F5F5F"/>
          <w:sz w:val="20"/>
          <w:szCs w:val="20"/>
        </w:rPr>
        <w:t>, adozione, tutela, o da vincoli affettivi, coabitanti e aventi dimora abituale nello stesso comune (anche se non sono ancora iscritte nell’anagrafe della popolazione residente del comune medesimo). Una famiglia può essere costituita anche da una sola persona. L’assente temporaneo non cessa di appartenere alla propria famiglia sia che si trovi presso altro alloggio (o convivenza) dello stesso comune, sia che si trovi in un altro comune italiano o all’estero.</w:t>
      </w:r>
    </w:p>
    <w:p w14:paraId="1E2BF357"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Indice di dipendenza strutturale: </w:t>
      </w:r>
      <w:r>
        <w:rPr>
          <w:rFonts w:ascii="Trebuchet MS" w:hAnsi="Trebuchet MS" w:cs="Arial"/>
          <w:bCs/>
          <w:color w:val="5F5F5F"/>
          <w:sz w:val="20"/>
          <w:szCs w:val="20"/>
        </w:rPr>
        <w:t>rapporto tra la popolazione in età non attiva (0-14 anni e 65 anni e oltre) e la popolazione in età attiva (15-64 anni), moltiplicato per 100.</w:t>
      </w:r>
    </w:p>
    <w:p w14:paraId="17231DA2" w14:textId="77777777" w:rsidR="00D62435" w:rsidRDefault="00D62435" w:rsidP="00D62435">
      <w:pPr>
        <w:spacing w:before="60" w:after="120"/>
        <w:jc w:val="both"/>
        <w:rPr>
          <w:rFonts w:ascii="Trebuchet MS" w:hAnsi="Trebuchet MS" w:cs="Arial"/>
          <w:b/>
          <w:bCs/>
          <w:color w:val="5F5F5F"/>
          <w:sz w:val="20"/>
          <w:szCs w:val="20"/>
        </w:rPr>
      </w:pPr>
      <w:r>
        <w:rPr>
          <w:rFonts w:ascii="Trebuchet MS" w:hAnsi="Trebuchet MS" w:cs="Arial"/>
          <w:b/>
          <w:bCs/>
          <w:color w:val="5F5F5F"/>
          <w:sz w:val="20"/>
          <w:szCs w:val="20"/>
        </w:rPr>
        <w:t xml:space="preserve">Indice di dipendenza strutturale degli anziani: </w:t>
      </w:r>
      <w:r>
        <w:rPr>
          <w:rFonts w:ascii="Trebuchet MS" w:hAnsi="Trebuchet MS" w:cs="Arial"/>
          <w:bCs/>
          <w:color w:val="5F5F5F"/>
          <w:sz w:val="20"/>
          <w:szCs w:val="20"/>
        </w:rPr>
        <w:t>rapporto tra la popolazione di 65 anni e oltre e la popolazione in età attiva (15-64 anni), moltiplicato per 100.</w:t>
      </w:r>
    </w:p>
    <w:p w14:paraId="39349F34"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Indice di struttura della popolazione attiva: </w:t>
      </w:r>
      <w:r>
        <w:rPr>
          <w:rFonts w:ascii="Trebuchet MS" w:hAnsi="Trebuchet MS" w:cs="Arial"/>
          <w:bCs/>
          <w:color w:val="5F5F5F"/>
          <w:sz w:val="20"/>
          <w:szCs w:val="20"/>
        </w:rPr>
        <w:t>rapporto percentuale tra la popolazione in età 40-64 anni e la popolazione in età 15-39 anni</w:t>
      </w:r>
    </w:p>
    <w:p w14:paraId="32CC4F14"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Indice di vecchiaia: </w:t>
      </w:r>
      <w:r>
        <w:rPr>
          <w:rFonts w:ascii="Trebuchet MS" w:hAnsi="Trebuchet MS" w:cs="Arial"/>
          <w:bCs/>
          <w:color w:val="5F5F5F"/>
          <w:sz w:val="20"/>
          <w:szCs w:val="20"/>
        </w:rPr>
        <w:t>rapporto tra la popolazione di 65 anni e oltre e la popolazione di età 0-14 anni, moltiplicato per 100.</w:t>
      </w:r>
    </w:p>
    <w:p w14:paraId="63028D27" w14:textId="77777777" w:rsidR="00D62435" w:rsidRDefault="00D62435" w:rsidP="00D62435">
      <w:pPr>
        <w:spacing w:before="60" w:after="120"/>
        <w:jc w:val="both"/>
        <w:rPr>
          <w:rFonts w:ascii="Trebuchet MS" w:hAnsi="Trebuchet MS" w:cs="Arial"/>
          <w:b/>
          <w:bCs/>
          <w:color w:val="5F5F5F"/>
          <w:sz w:val="20"/>
          <w:szCs w:val="20"/>
        </w:rPr>
      </w:pPr>
      <w:r>
        <w:rPr>
          <w:rFonts w:ascii="Trebuchet MS" w:hAnsi="Trebuchet MS" w:cs="Arial"/>
          <w:b/>
          <w:bCs/>
          <w:color w:val="5F5F5F"/>
          <w:sz w:val="20"/>
          <w:szCs w:val="20"/>
        </w:rPr>
        <w:t xml:space="preserve">Istruzione terziaria: </w:t>
      </w:r>
      <w:r>
        <w:rPr>
          <w:rFonts w:ascii="Trebuchet MS" w:hAnsi="Trebuchet MS" w:cs="Arial"/>
          <w:bCs/>
          <w:color w:val="5F5F5F"/>
          <w:sz w:val="20"/>
          <w:szCs w:val="20"/>
        </w:rPr>
        <w:t>comprende titoli di istruzione terziaria di I e II livello</w:t>
      </w:r>
    </w:p>
    <w:p w14:paraId="73EDF7AB"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lastRenderedPageBreak/>
        <w:t xml:space="preserve">Istruzione terziaria di I livello (titolo di): </w:t>
      </w:r>
      <w:r>
        <w:rPr>
          <w:rFonts w:ascii="Trebuchet MS" w:hAnsi="Trebuchet MS" w:cs="Arial"/>
          <w:bCs/>
          <w:color w:val="5F5F5F"/>
          <w:sz w:val="20"/>
          <w:szCs w:val="20"/>
        </w:rPr>
        <w:t>rientrano in questa modalità i seg</w:t>
      </w:r>
      <w:bookmarkStart w:id="1" w:name="_GoBack"/>
      <w:bookmarkEnd w:id="1"/>
      <w:r>
        <w:rPr>
          <w:rFonts w:ascii="Trebuchet MS" w:hAnsi="Trebuchet MS" w:cs="Arial"/>
          <w:bCs/>
          <w:color w:val="5F5F5F"/>
          <w:sz w:val="20"/>
          <w:szCs w:val="20"/>
        </w:rPr>
        <w:t>uenti titoli: diploma universitario, diploma rilasciato da una scuola diretta a fini speciali, altro diploma terziario non universitario del vecchio ordinamento, laurea di I livello e diploma accademico Afam di I livello.</w:t>
      </w:r>
    </w:p>
    <w:p w14:paraId="0B43478C" w14:textId="77777777" w:rsidR="00D62435" w:rsidRDefault="00D62435" w:rsidP="00D62435">
      <w:pPr>
        <w:spacing w:before="60" w:after="120"/>
        <w:jc w:val="both"/>
        <w:rPr>
          <w:rFonts w:ascii="Trebuchet MS" w:hAnsi="Trebuchet MS"/>
          <w:bCs/>
          <w:color w:val="5F5F5F"/>
          <w:sz w:val="20"/>
          <w:szCs w:val="20"/>
        </w:rPr>
      </w:pPr>
      <w:r>
        <w:rPr>
          <w:rFonts w:ascii="Trebuchet MS" w:hAnsi="Trebuchet MS" w:cs="Arial"/>
          <w:b/>
          <w:bCs/>
          <w:color w:val="5F5F5F"/>
          <w:sz w:val="20"/>
          <w:szCs w:val="20"/>
        </w:rPr>
        <w:t xml:space="preserve">Istruzione terziaria di II livello (titolo di): </w:t>
      </w:r>
      <w:r>
        <w:rPr>
          <w:rFonts w:ascii="Trebuchet MS" w:hAnsi="Trebuchet MS"/>
          <w:bCs/>
          <w:color w:val="5F5F5F"/>
          <w:sz w:val="20"/>
          <w:szCs w:val="20"/>
        </w:rPr>
        <w:t xml:space="preserve">rientrano in questa modalità i seguenti titoli di studio: la laurea magistrale/specialistica (biennale, a ciclo unico, diploma di laurea di 4-6 anni), il diploma di accademia di belle arti, danza, arte drammatica, </w:t>
      </w:r>
      <w:proofErr w:type="spellStart"/>
      <w:r>
        <w:rPr>
          <w:rFonts w:ascii="Trebuchet MS" w:hAnsi="Trebuchet MS"/>
          <w:bCs/>
          <w:color w:val="5F5F5F"/>
          <w:sz w:val="20"/>
          <w:szCs w:val="20"/>
        </w:rPr>
        <w:t>Isia</w:t>
      </w:r>
      <w:proofErr w:type="spellEnd"/>
      <w:r>
        <w:rPr>
          <w:rFonts w:ascii="Trebuchet MS" w:hAnsi="Trebuchet MS"/>
          <w:bCs/>
          <w:color w:val="5F5F5F"/>
          <w:sz w:val="20"/>
          <w:szCs w:val="20"/>
        </w:rPr>
        <w:t>, ecc., conservatorio (vecchio ordinamento) precedente la riforma del settore Afam (legge 508/99) e il diploma accademico di alta formazione artistica, musicale e coreutica (Afam) di II livello.</w:t>
      </w:r>
    </w:p>
    <w:p w14:paraId="2F1C730B" w14:textId="77777777" w:rsidR="00D62435" w:rsidRDefault="00D62435" w:rsidP="00D62435">
      <w:pPr>
        <w:spacing w:before="60" w:after="120"/>
        <w:jc w:val="both"/>
        <w:rPr>
          <w:rFonts w:ascii="Trebuchet MS" w:hAnsi="Trebuchet MS"/>
          <w:bCs/>
          <w:color w:val="5F5F5F"/>
          <w:sz w:val="20"/>
          <w:szCs w:val="20"/>
        </w:rPr>
      </w:pPr>
      <w:r>
        <w:rPr>
          <w:rFonts w:ascii="Trebuchet MS" w:hAnsi="Trebuchet MS" w:cs="Arial"/>
          <w:b/>
          <w:bCs/>
          <w:color w:val="5F5F5F"/>
          <w:sz w:val="20"/>
          <w:szCs w:val="20"/>
        </w:rPr>
        <w:t>Istruzione terziaria e superiore</w:t>
      </w:r>
      <w:r>
        <w:rPr>
          <w:rFonts w:ascii="Trebuchet MS" w:hAnsi="Trebuchet MS"/>
          <w:bCs/>
          <w:color w:val="5F5F5F"/>
          <w:sz w:val="20"/>
          <w:szCs w:val="20"/>
        </w:rPr>
        <w:t>: comprende l’istruzione terziaria, il dottorato di ricerca</w:t>
      </w:r>
      <w:r>
        <w:rPr>
          <w:rFonts w:ascii="Trebuchet MS" w:hAnsi="Trebuchet MS" w:cs="Arial"/>
          <w:b/>
          <w:bCs/>
          <w:color w:val="5F5F5F"/>
          <w:sz w:val="20"/>
          <w:szCs w:val="20"/>
        </w:rPr>
        <w:t xml:space="preserve"> </w:t>
      </w:r>
      <w:r>
        <w:rPr>
          <w:rFonts w:ascii="Trebuchet MS" w:hAnsi="Trebuchet MS"/>
          <w:bCs/>
          <w:color w:val="5F5F5F"/>
          <w:sz w:val="20"/>
          <w:szCs w:val="20"/>
        </w:rPr>
        <w:t>e il diploma accademico di formazione alla ricerca</w:t>
      </w:r>
    </w:p>
    <w:p w14:paraId="717634C6"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Licenza di scuola elementare: </w:t>
      </w:r>
      <w:r>
        <w:rPr>
          <w:rFonts w:ascii="Trebuchet MS" w:hAnsi="Trebuchet MS" w:cs="Arial"/>
          <w:bCs/>
          <w:color w:val="5F5F5F"/>
          <w:sz w:val="20"/>
          <w:szCs w:val="20"/>
        </w:rPr>
        <w:t>titolo di studio che corrisponde al completamento del primo grado del sistema scolastico.</w:t>
      </w:r>
    </w:p>
    <w:p w14:paraId="5ED39094"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Licenza di scuola media inferiore o di avviamento professionale: </w:t>
      </w:r>
      <w:r>
        <w:rPr>
          <w:rFonts w:ascii="Trebuchet MS" w:hAnsi="Trebuchet MS" w:cs="Arial"/>
          <w:bCs/>
          <w:color w:val="5F5F5F"/>
          <w:sz w:val="20"/>
          <w:szCs w:val="20"/>
        </w:rPr>
        <w:t>titolo di studio che corrisponde al completamento del secondo grado del sistema scolastico e rappresenta la conclusione del primo ciclo di istruzione.</w:t>
      </w:r>
    </w:p>
    <w:p w14:paraId="755E7952" w14:textId="77777777" w:rsidR="00D62435" w:rsidRDefault="00D62435" w:rsidP="00D62435">
      <w:pPr>
        <w:spacing w:before="60" w:after="120"/>
        <w:jc w:val="both"/>
        <w:rPr>
          <w:rFonts w:ascii="Trebuchet MS" w:hAnsi="Trebuchet MS" w:cs="Arial"/>
          <w:color w:val="5F5F5F"/>
          <w:sz w:val="20"/>
          <w:szCs w:val="20"/>
        </w:rPr>
      </w:pPr>
      <w:r>
        <w:rPr>
          <w:rFonts w:ascii="Trebuchet MS" w:hAnsi="Trebuchet MS" w:cs="Arial"/>
          <w:b/>
          <w:bCs/>
          <w:color w:val="5F5F5F"/>
          <w:sz w:val="20"/>
          <w:szCs w:val="20"/>
        </w:rPr>
        <w:t>Popolazione residente:</w:t>
      </w:r>
      <w:r>
        <w:rPr>
          <w:rFonts w:ascii="Trebuchet MS" w:hAnsi="Trebuchet MS" w:cs="Arial"/>
          <w:color w:val="5F5F5F"/>
          <w:sz w:val="20"/>
          <w:szCs w:val="20"/>
        </w:rPr>
        <w:t xml:space="preserve"> popolazione costituita dalle persone aventi dimora abituale in ciascun comune, anche se alla data del censimento sono assenti perché temporaneamente presenti in altro comune italiano o all’estero. </w:t>
      </w:r>
    </w:p>
    <w:p w14:paraId="44612CC9" w14:textId="77777777" w:rsidR="00D62435" w:rsidRDefault="00D62435" w:rsidP="00D62435">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Rapporto di mascolinità: </w:t>
      </w:r>
      <w:r>
        <w:rPr>
          <w:rFonts w:ascii="Trebuchet MS" w:hAnsi="Trebuchet MS" w:cs="Arial"/>
          <w:bCs/>
          <w:color w:val="5F5F5F"/>
          <w:sz w:val="20"/>
          <w:szCs w:val="20"/>
        </w:rPr>
        <w:t>rapporto percentuale tra il numero di persone di sesso maschile e il numero di persone di sesso femminile.</w:t>
      </w:r>
    </w:p>
    <w:p w14:paraId="5EFFE75F" w14:textId="77777777" w:rsidR="00D62435" w:rsidRPr="00660D62" w:rsidRDefault="00D62435" w:rsidP="00D62435">
      <w:pPr>
        <w:spacing w:after="120"/>
        <w:jc w:val="both"/>
        <w:rPr>
          <w:rStyle w:val="fontstyle01"/>
          <w:rFonts w:ascii="Trebuchet MS" w:hAnsi="Trebuchet MS"/>
          <w:b w:val="0"/>
          <w:bCs w:val="0"/>
          <w:iCs/>
          <w:sz w:val="20"/>
          <w:szCs w:val="20"/>
        </w:rPr>
      </w:pPr>
      <w:r w:rsidRPr="001B5D93">
        <w:rPr>
          <w:rStyle w:val="fontstyle01"/>
          <w:rFonts w:ascii="Trebuchet MS" w:hAnsi="Trebuchet MS"/>
          <w:iCs/>
          <w:sz w:val="20"/>
          <w:szCs w:val="20"/>
        </w:rPr>
        <w:t xml:space="preserve">Strategia Nazionale per le Aree Interne: </w:t>
      </w:r>
      <w:r w:rsidRPr="00660D62">
        <w:rPr>
          <w:rStyle w:val="fontstyle01"/>
          <w:rFonts w:ascii="Trebuchet MS" w:hAnsi="Trebuchet MS"/>
          <w:iCs/>
          <w:sz w:val="20"/>
          <w:szCs w:val="20"/>
        </w:rPr>
        <w:t>linea strategica di intervento dei Fondi strutturali europei del ciclo di programmazione 2014-2020 che introduce una zonizzazione del territorio nazionale</w:t>
      </w:r>
      <w:r>
        <w:rPr>
          <w:rStyle w:val="fontstyle01"/>
          <w:rFonts w:ascii="Trebuchet MS" w:hAnsi="Trebuchet MS"/>
          <w:iCs/>
          <w:sz w:val="20"/>
          <w:szCs w:val="20"/>
        </w:rPr>
        <w:t xml:space="preserve"> in:</w:t>
      </w:r>
    </w:p>
    <w:p w14:paraId="1A5C04E0" w14:textId="77777777" w:rsidR="00D62435" w:rsidRDefault="00D62435" w:rsidP="00D62435">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w:t>
      </w:r>
      <w:r w:rsidRPr="00A50EC1">
        <w:rPr>
          <w:rStyle w:val="fontstyle01"/>
          <w:rFonts w:ascii="Trebuchet MS" w:hAnsi="Trebuchet MS"/>
          <w:iCs/>
          <w:sz w:val="20"/>
          <w:szCs w:val="20"/>
        </w:rPr>
        <w:t>Polo:</w:t>
      </w:r>
      <w:r>
        <w:rPr>
          <w:rStyle w:val="fontstyle01"/>
          <w:rFonts w:ascii="Trebuchet MS" w:hAnsi="Trebuchet MS"/>
          <w:iCs/>
          <w:sz w:val="20"/>
          <w:szCs w:val="20"/>
        </w:rPr>
        <w:t xml:space="preserve"> </w:t>
      </w:r>
      <w:r w:rsidRPr="00660D62">
        <w:rPr>
          <w:rStyle w:val="fontstyle01"/>
          <w:rFonts w:ascii="Trebuchet MS" w:hAnsi="Trebuchet MS"/>
          <w:iCs/>
          <w:sz w:val="20"/>
          <w:szCs w:val="20"/>
        </w:rPr>
        <w:t>comune che dispone, simultaneamente, di tutta l’offerta scolastica secondaria, di ospedali sedi di DEA di primo livello e di stazioni ferroviarie Platinum, Gold o Silver;</w:t>
      </w:r>
      <w:r w:rsidRPr="001B5D93">
        <w:rPr>
          <w:rStyle w:val="fontstyle01"/>
          <w:rFonts w:ascii="Trebuchet MS" w:hAnsi="Trebuchet MS"/>
          <w:iCs/>
          <w:sz w:val="20"/>
          <w:szCs w:val="20"/>
        </w:rPr>
        <w:t xml:space="preserve"> </w:t>
      </w:r>
    </w:p>
    <w:p w14:paraId="5733C54A" w14:textId="77777777" w:rsidR="00D62435" w:rsidRPr="00660D62" w:rsidRDefault="00D62435" w:rsidP="00D62435">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w:t>
      </w:r>
      <w:r w:rsidRPr="00A50EC1">
        <w:rPr>
          <w:rStyle w:val="fontstyle01"/>
          <w:rFonts w:ascii="Trebuchet MS" w:hAnsi="Trebuchet MS"/>
          <w:iCs/>
          <w:sz w:val="20"/>
          <w:szCs w:val="20"/>
        </w:rPr>
        <w:t>Polo intercomunale:</w:t>
      </w:r>
      <w:r>
        <w:rPr>
          <w:rStyle w:val="fontstyle01"/>
          <w:rFonts w:ascii="Trebuchet MS" w:hAnsi="Trebuchet MS"/>
          <w:iCs/>
          <w:sz w:val="20"/>
          <w:szCs w:val="20"/>
        </w:rPr>
        <w:t xml:space="preserve"> </w:t>
      </w:r>
      <w:r w:rsidRPr="00660D62">
        <w:rPr>
          <w:rStyle w:val="fontstyle01"/>
          <w:rFonts w:ascii="Trebuchet MS" w:hAnsi="Trebuchet MS"/>
          <w:iCs/>
          <w:sz w:val="20"/>
          <w:szCs w:val="20"/>
        </w:rPr>
        <w:t xml:space="preserve">aggregato di comuni confinanti che dispone, simultaneamente, di tutta l’offerta scolastica secondaria, di ospedali sedi di DEA di primo livello e di stazioni ferroviarie Platinum, Gold o Silver; </w:t>
      </w:r>
    </w:p>
    <w:p w14:paraId="78247F65" w14:textId="77777777" w:rsidR="00D62435" w:rsidRPr="00660D62" w:rsidRDefault="00D62435" w:rsidP="00D62435">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w:t>
      </w:r>
      <w:r w:rsidRPr="001B5D93">
        <w:rPr>
          <w:rStyle w:val="fontstyle01"/>
          <w:rFonts w:ascii="Trebuchet MS" w:hAnsi="Trebuchet MS"/>
          <w:iCs/>
          <w:sz w:val="20"/>
          <w:szCs w:val="20"/>
        </w:rPr>
        <w:t>Cintura</w:t>
      </w:r>
      <w:r>
        <w:rPr>
          <w:rStyle w:val="fontstyle01"/>
          <w:rFonts w:ascii="Trebuchet MS" w:hAnsi="Trebuchet MS"/>
          <w:iCs/>
          <w:sz w:val="20"/>
          <w:szCs w:val="20"/>
        </w:rPr>
        <w:t xml:space="preserve">: </w:t>
      </w:r>
      <w:r w:rsidRPr="00660D62">
        <w:rPr>
          <w:rStyle w:val="fontstyle01"/>
          <w:rFonts w:ascii="Trebuchet MS" w:hAnsi="Trebuchet MS"/>
          <w:iCs/>
          <w:sz w:val="20"/>
          <w:szCs w:val="20"/>
        </w:rPr>
        <w:t>comune che dista dal Polo mediamente meno di 20 minuti;</w:t>
      </w:r>
    </w:p>
    <w:p w14:paraId="2B384BE4" w14:textId="77777777" w:rsidR="00D62435" w:rsidRPr="00660D62" w:rsidRDefault="00D62435" w:rsidP="00D62435">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Intermedio: </w:t>
      </w:r>
      <w:r w:rsidRPr="00660D62">
        <w:rPr>
          <w:rStyle w:val="fontstyle01"/>
          <w:rFonts w:ascii="Trebuchet MS" w:hAnsi="Trebuchet MS"/>
          <w:iCs/>
          <w:sz w:val="20"/>
          <w:szCs w:val="20"/>
        </w:rPr>
        <w:t>comune che dista dal Polo mediamente tra i 20 e i 40 minuti;</w:t>
      </w:r>
    </w:p>
    <w:p w14:paraId="29C42998" w14:textId="77777777" w:rsidR="00D62435" w:rsidRDefault="00D62435" w:rsidP="00D62435">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Periferico: </w:t>
      </w:r>
      <w:r w:rsidRPr="00660D62">
        <w:rPr>
          <w:rStyle w:val="fontstyle01"/>
          <w:rFonts w:ascii="Trebuchet MS" w:hAnsi="Trebuchet MS"/>
          <w:iCs/>
          <w:sz w:val="20"/>
          <w:szCs w:val="20"/>
        </w:rPr>
        <w:t>comune che dista dal Polo mediamente tra i 40 e i 75 minuti;</w:t>
      </w:r>
      <w:r w:rsidRPr="001B5D93">
        <w:rPr>
          <w:rStyle w:val="fontstyle01"/>
          <w:rFonts w:ascii="Trebuchet MS" w:hAnsi="Trebuchet MS"/>
          <w:iCs/>
          <w:sz w:val="20"/>
          <w:szCs w:val="20"/>
        </w:rPr>
        <w:t xml:space="preserve"> </w:t>
      </w:r>
    </w:p>
    <w:p w14:paraId="657C75CC" w14:textId="77777777" w:rsidR="00D62435" w:rsidRPr="00660D62" w:rsidRDefault="00D62435" w:rsidP="00D62435">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Ultra-periferico: </w:t>
      </w:r>
      <w:r w:rsidRPr="00660D62">
        <w:rPr>
          <w:rStyle w:val="fontstyle01"/>
          <w:rFonts w:ascii="Trebuchet MS" w:hAnsi="Trebuchet MS"/>
          <w:iCs/>
          <w:sz w:val="20"/>
          <w:szCs w:val="20"/>
        </w:rPr>
        <w:t>comune che dista dal Polo mediamente oltre i 75 minuti;</w:t>
      </w:r>
    </w:p>
    <w:p w14:paraId="72BFFB2F" w14:textId="77777777" w:rsidR="00D62435" w:rsidRPr="004E2FD7" w:rsidRDefault="00D62435" w:rsidP="00D62435">
      <w:pPr>
        <w:keepNext/>
        <w:keepLines/>
        <w:spacing w:before="120"/>
        <w:jc w:val="both"/>
        <w:rPr>
          <w:rFonts w:ascii="Trebuchet MS" w:hAnsi="Trebuchet MS" w:cs="Arial"/>
          <w:bCs/>
          <w:color w:val="5F5F5F"/>
          <w:sz w:val="20"/>
          <w:szCs w:val="20"/>
        </w:rPr>
      </w:pPr>
      <w:r w:rsidRPr="004E2FD7">
        <w:rPr>
          <w:rFonts w:ascii="Trebuchet MS" w:hAnsi="Trebuchet MS" w:cs="Arial"/>
          <w:b/>
          <w:bCs/>
          <w:color w:val="5F5F5F"/>
          <w:sz w:val="20"/>
          <w:szCs w:val="20"/>
        </w:rPr>
        <w:t>Tasso migratorio netto con l’estero</w:t>
      </w:r>
      <w:r>
        <w:rPr>
          <w:rFonts w:ascii="Arial" w:hAnsi="Arial" w:cs="Arial"/>
          <w:color w:val="333333"/>
          <w:sz w:val="21"/>
          <w:szCs w:val="21"/>
        </w:rPr>
        <w:t xml:space="preserve">: </w:t>
      </w:r>
      <w:r>
        <w:rPr>
          <w:rFonts w:ascii="Trebuchet MS" w:hAnsi="Trebuchet MS" w:cs="Arial"/>
          <w:bCs/>
          <w:color w:val="5F5F5F"/>
          <w:sz w:val="20"/>
          <w:szCs w:val="20"/>
        </w:rPr>
        <w:t>d</w:t>
      </w:r>
      <w:r w:rsidRPr="004E2FD7">
        <w:rPr>
          <w:rFonts w:ascii="Trebuchet MS" w:hAnsi="Trebuchet MS" w:cs="Arial"/>
          <w:bCs/>
          <w:color w:val="5F5F5F"/>
          <w:sz w:val="20"/>
          <w:szCs w:val="20"/>
        </w:rPr>
        <w:t>ifferenza tra il tasso immigratorio dall’estero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iscritti nei registri anagrafici dall’estero e l’ammontare medio della popolazione residente, moltiplicato per 1.000.) e il tasso emigratorio con l’estero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cancellati dai registri anagrafici per l’estero e l’ammontare medio della popolazione residente, moltiplicato per 1.000.).</w:t>
      </w:r>
    </w:p>
    <w:p w14:paraId="4A141F61" w14:textId="77777777" w:rsidR="00D62435" w:rsidRPr="004E2FD7" w:rsidRDefault="00D62435" w:rsidP="00D62435">
      <w:pPr>
        <w:keepNext/>
        <w:keepLines/>
        <w:spacing w:before="120"/>
        <w:jc w:val="both"/>
        <w:rPr>
          <w:rFonts w:ascii="Trebuchet MS" w:hAnsi="Trebuchet MS" w:cs="Arial"/>
          <w:bCs/>
          <w:color w:val="5F5F5F"/>
          <w:sz w:val="20"/>
          <w:szCs w:val="20"/>
        </w:rPr>
      </w:pPr>
      <w:r w:rsidRPr="004E2FD7">
        <w:rPr>
          <w:rFonts w:ascii="Trebuchet MS" w:hAnsi="Trebuchet MS" w:cs="Arial"/>
          <w:b/>
          <w:bCs/>
          <w:color w:val="5F5F5F"/>
          <w:sz w:val="20"/>
          <w:szCs w:val="20"/>
        </w:rPr>
        <w:t>Tasso migratorio netto con l’interno:</w:t>
      </w:r>
      <w:r>
        <w:rPr>
          <w:rFonts w:ascii="Arial" w:hAnsi="Arial" w:cs="Arial"/>
          <w:color w:val="333333"/>
          <w:sz w:val="21"/>
          <w:szCs w:val="21"/>
        </w:rPr>
        <w:t xml:space="preserve"> </w:t>
      </w:r>
      <w:r>
        <w:rPr>
          <w:rFonts w:ascii="Trebuchet MS" w:hAnsi="Trebuchet MS" w:cs="Arial"/>
          <w:bCs/>
          <w:color w:val="5F5F5F"/>
          <w:sz w:val="20"/>
          <w:szCs w:val="20"/>
        </w:rPr>
        <w:t>d</w:t>
      </w:r>
      <w:r w:rsidRPr="004E2FD7">
        <w:rPr>
          <w:rFonts w:ascii="Trebuchet MS" w:hAnsi="Trebuchet MS" w:cs="Arial"/>
          <w:bCs/>
          <w:color w:val="5F5F5F"/>
          <w:sz w:val="20"/>
          <w:szCs w:val="20"/>
        </w:rPr>
        <w:t>ifferenza tra il tasso immigratorio dall’interno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iscritti nei registri anagrafici dall’interno e l’ammontare medio della popolazione residente, moltiplicato per 1.000) e il tasso emigratorio per l’interno (rapporto tra il numero di cancellati dai registri anagrafici per l’interno e l’ammontare medio della popolazione residente, moltiplicato per 1.000).</w:t>
      </w:r>
    </w:p>
    <w:p w14:paraId="010495E6" w14:textId="77777777" w:rsidR="00D62435" w:rsidRPr="004E2FD7" w:rsidRDefault="00D62435" w:rsidP="00D62435">
      <w:pPr>
        <w:keepNext/>
        <w:keepLines/>
        <w:spacing w:before="120"/>
        <w:jc w:val="both"/>
        <w:rPr>
          <w:rFonts w:ascii="Trebuchet MS" w:hAnsi="Trebuchet MS" w:cs="Arial"/>
          <w:bCs/>
          <w:color w:val="5F5F5F"/>
          <w:sz w:val="20"/>
          <w:szCs w:val="20"/>
        </w:rPr>
      </w:pPr>
      <w:r>
        <w:rPr>
          <w:rFonts w:ascii="Trebuchet MS" w:hAnsi="Trebuchet MS" w:cs="Arial"/>
          <w:b/>
          <w:bCs/>
          <w:color w:val="5F5F5F"/>
          <w:sz w:val="20"/>
          <w:szCs w:val="20"/>
        </w:rPr>
        <w:t xml:space="preserve">Tasso di mortalità: </w:t>
      </w:r>
      <w:r>
        <w:rPr>
          <w:rFonts w:ascii="Trebuchet MS" w:hAnsi="Trebuchet MS" w:cs="Arial"/>
          <w:bCs/>
          <w:color w:val="5F5F5F"/>
          <w:sz w:val="20"/>
          <w:szCs w:val="20"/>
        </w:rPr>
        <w:t>r</w:t>
      </w:r>
      <w:r w:rsidRPr="00AE565E">
        <w:rPr>
          <w:rFonts w:ascii="Trebuchet MS" w:hAnsi="Trebuchet MS" w:cs="Arial"/>
          <w:bCs/>
          <w:color w:val="5F5F5F"/>
          <w:sz w:val="20"/>
          <w:szCs w:val="20"/>
        </w:rPr>
        <w:t>apporto tra il numero dei decessi nell’anno e l’ammontare medio della popolazione residente, moltiplicato per 1.000.</w:t>
      </w:r>
    </w:p>
    <w:p w14:paraId="27F73AE0" w14:textId="77777777" w:rsidR="00D62435" w:rsidRPr="004E2FD7" w:rsidRDefault="00D62435" w:rsidP="00D62435">
      <w:pPr>
        <w:keepNext/>
        <w:keepLines/>
        <w:spacing w:before="120"/>
        <w:jc w:val="both"/>
        <w:rPr>
          <w:rFonts w:ascii="Trebuchet MS" w:hAnsi="Trebuchet MS" w:cs="Arial"/>
          <w:bCs/>
          <w:color w:val="5F5F5F"/>
          <w:sz w:val="20"/>
          <w:szCs w:val="20"/>
        </w:rPr>
      </w:pPr>
      <w:r>
        <w:rPr>
          <w:rFonts w:ascii="Trebuchet MS" w:hAnsi="Trebuchet MS" w:cs="Arial"/>
          <w:b/>
          <w:bCs/>
          <w:color w:val="5F5F5F"/>
          <w:sz w:val="20"/>
          <w:szCs w:val="20"/>
        </w:rPr>
        <w:t>Tasso di natalità:</w:t>
      </w:r>
      <w:r>
        <w:rPr>
          <w:rFonts w:ascii="Arial" w:hAnsi="Arial" w:cs="Arial"/>
          <w:iCs/>
          <w:sz w:val="20"/>
          <w:szCs w:val="20"/>
        </w:rPr>
        <w:t xml:space="preserve">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nati vivi dell’anno e l’ammontare medio della popolazione residente, moltiplicato per 1.000.</w:t>
      </w:r>
    </w:p>
    <w:p w14:paraId="24461E81" w14:textId="77777777" w:rsidR="00D62435" w:rsidRPr="00F04198" w:rsidRDefault="00D62435" w:rsidP="00F04198">
      <w:pPr>
        <w:keepNext/>
        <w:keepLines/>
        <w:spacing w:before="60"/>
        <w:jc w:val="both"/>
        <w:rPr>
          <w:rFonts w:ascii="Arial Narrow" w:hAnsi="Arial Narrow" w:cs="Calibri"/>
          <w:color w:val="000000"/>
          <w:sz w:val="16"/>
          <w:szCs w:val="16"/>
        </w:rPr>
      </w:pPr>
    </w:p>
    <w:sectPr w:rsidR="00D62435" w:rsidRPr="00F04198" w:rsidSect="002614AF">
      <w:headerReference w:type="default" r:id="rId14"/>
      <w:footerReference w:type="default" r:id="rId15"/>
      <w:headerReference w:type="first" r:id="rId16"/>
      <w:footerReference w:type="first" r:id="rId17"/>
      <w:pgSz w:w="11906" w:h="16838"/>
      <w:pgMar w:top="1418" w:right="1134" w:bottom="1135" w:left="113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2E5F3" w14:textId="77777777" w:rsidR="00184445" w:rsidRDefault="00184445">
      <w:r>
        <w:separator/>
      </w:r>
    </w:p>
  </w:endnote>
  <w:endnote w:type="continuationSeparator" w:id="0">
    <w:p w14:paraId="33B66F0F" w14:textId="77777777" w:rsidR="00184445" w:rsidRDefault="00184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MS-Bold">
    <w:altName w:val="Cambria"/>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207653"/>
      <w:docPartObj>
        <w:docPartGallery w:val="Page Numbers (Bottom of Page)"/>
        <w:docPartUnique/>
      </w:docPartObj>
    </w:sdtPr>
    <w:sdtEndPr>
      <w:rPr>
        <w:rFonts w:ascii="Trebuchet MS" w:hAnsi="Trebuchet MS"/>
        <w:sz w:val="20"/>
        <w:szCs w:val="20"/>
      </w:rPr>
    </w:sdtEndPr>
    <w:sdtContent>
      <w:p w14:paraId="389215FF" w14:textId="73F2DB4F" w:rsidR="003A0F52" w:rsidRPr="00E072ED" w:rsidRDefault="003A0F52">
        <w:pPr>
          <w:pStyle w:val="Pidipagina"/>
          <w:jc w:val="right"/>
          <w:rPr>
            <w:rFonts w:ascii="Trebuchet MS" w:hAnsi="Trebuchet MS"/>
            <w:sz w:val="20"/>
            <w:szCs w:val="20"/>
          </w:rPr>
        </w:pPr>
        <w:r w:rsidRPr="00E072ED">
          <w:rPr>
            <w:rFonts w:ascii="Trebuchet MS" w:hAnsi="Trebuchet MS"/>
            <w:sz w:val="20"/>
            <w:szCs w:val="20"/>
          </w:rPr>
          <w:fldChar w:fldCharType="begin"/>
        </w:r>
        <w:r w:rsidRPr="00E072ED">
          <w:rPr>
            <w:rFonts w:ascii="Trebuchet MS" w:hAnsi="Trebuchet MS"/>
            <w:sz w:val="20"/>
            <w:szCs w:val="20"/>
          </w:rPr>
          <w:instrText>PAGE   \* MERGEFORMAT</w:instrText>
        </w:r>
        <w:r w:rsidRPr="00E072ED">
          <w:rPr>
            <w:rFonts w:ascii="Trebuchet MS" w:hAnsi="Trebuchet MS"/>
            <w:sz w:val="20"/>
            <w:szCs w:val="20"/>
          </w:rPr>
          <w:fldChar w:fldCharType="separate"/>
        </w:r>
        <w:r w:rsidR="00C155BD">
          <w:rPr>
            <w:rFonts w:ascii="Trebuchet MS" w:hAnsi="Trebuchet MS"/>
            <w:noProof/>
            <w:sz w:val="20"/>
            <w:szCs w:val="20"/>
          </w:rPr>
          <w:t>13</w:t>
        </w:r>
        <w:r w:rsidRPr="00E072ED">
          <w:rPr>
            <w:rFonts w:ascii="Trebuchet MS" w:hAnsi="Trebuchet MS"/>
            <w:sz w:val="20"/>
            <w:szCs w:val="20"/>
          </w:rPr>
          <w:fldChar w:fldCharType="end"/>
        </w:r>
      </w:p>
    </w:sdtContent>
  </w:sdt>
  <w:p w14:paraId="0A1090DD" w14:textId="77777777" w:rsidR="003A0F52" w:rsidRDefault="003A0F5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33BDD" w14:textId="7F6CA501" w:rsidR="003A0F52" w:rsidRDefault="003A0F52" w:rsidP="00D62435">
    <w:pPr>
      <w:pStyle w:val="Pidipagina"/>
      <w:ind w:left="-851"/>
    </w:pPr>
    <w:r>
      <w:rPr>
        <w:noProof/>
      </w:rPr>
      <w:drawing>
        <wp:inline distT="0" distB="0" distL="0" distR="0" wp14:anchorId="060320DC" wp14:editId="6A18CE64">
          <wp:extent cx="6925677" cy="485775"/>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737" cy="48907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06BEE" w14:textId="77777777" w:rsidR="00184445" w:rsidRDefault="00184445">
      <w:r>
        <w:separator/>
      </w:r>
    </w:p>
  </w:footnote>
  <w:footnote w:type="continuationSeparator" w:id="0">
    <w:p w14:paraId="2A704744" w14:textId="77777777" w:rsidR="00184445" w:rsidRDefault="00184445">
      <w:r>
        <w:continuationSeparator/>
      </w:r>
    </w:p>
  </w:footnote>
  <w:footnote w:id="1">
    <w:p w14:paraId="25BDF93F" w14:textId="20D7497A" w:rsidR="003A0F52" w:rsidRDefault="003A0F52" w:rsidP="006F3500">
      <w:pPr>
        <w:pStyle w:val="Testonotaapidipagina"/>
        <w:spacing w:after="60"/>
        <w:rPr>
          <w:rFonts w:ascii="Trebuchet MS" w:hAnsi="Trebuchet MS"/>
          <w:color w:val="5F5F5F"/>
          <w:sz w:val="16"/>
          <w:szCs w:val="16"/>
        </w:rPr>
      </w:pPr>
      <w:r>
        <w:rPr>
          <w:rStyle w:val="Rimandonotaapidipagina"/>
        </w:rPr>
        <w:footnoteRef/>
      </w:r>
      <w:r>
        <w:t xml:space="preserve"> </w:t>
      </w:r>
      <w:r>
        <w:rPr>
          <w:rFonts w:ascii="Trebuchet MS" w:hAnsi="Trebuchet MS"/>
          <w:color w:val="5F5F5F"/>
          <w:sz w:val="16"/>
          <w:szCs w:val="16"/>
        </w:rPr>
        <w:t xml:space="preserve">Cfr. nota tecnica disponibile all’indirizzo </w:t>
      </w:r>
      <w:hyperlink r:id="rId1" w:history="1">
        <w:r w:rsidRPr="00CF2C6A">
          <w:rPr>
            <w:rStyle w:val="Collegamentoipertestuale"/>
            <w:rFonts w:ascii="Trebuchet MS" w:hAnsi="Trebuchet MS"/>
            <w:sz w:val="16"/>
            <w:szCs w:val="16"/>
          </w:rPr>
          <w:t>https://www.istat.it/it/archivio/251687</w:t>
        </w:r>
      </w:hyperlink>
    </w:p>
    <w:p w14:paraId="5C7986FB" w14:textId="77777777" w:rsidR="003A0F52" w:rsidRDefault="003A0F52" w:rsidP="006F3500">
      <w:pPr>
        <w:pStyle w:val="Testonotaapidipagina"/>
        <w:spacing w:after="60"/>
      </w:pPr>
    </w:p>
  </w:footnote>
  <w:footnote w:id="2">
    <w:p w14:paraId="2A33192E" w14:textId="77777777" w:rsidR="003A0F52" w:rsidRDefault="003A0F52" w:rsidP="006F3500">
      <w:pPr>
        <w:pStyle w:val="Testonotaapidipagina"/>
        <w:spacing w:before="60"/>
        <w:jc w:val="both"/>
        <w:rPr>
          <w:color w:val="595959" w:themeColor="text1" w:themeTint="A6"/>
          <w:sz w:val="16"/>
          <w:szCs w:val="16"/>
        </w:rPr>
      </w:pPr>
      <w:r>
        <w:rPr>
          <w:rStyle w:val="Rimandonotaapidipagina"/>
          <w:color w:val="595959" w:themeColor="text1" w:themeTint="A6"/>
          <w:sz w:val="16"/>
          <w:szCs w:val="16"/>
        </w:rPr>
        <w:footnoteRef/>
      </w:r>
      <w:r>
        <w:rPr>
          <w:color w:val="595959" w:themeColor="text1" w:themeTint="A6"/>
          <w:sz w:val="16"/>
          <w:szCs w:val="16"/>
        </w:rPr>
        <w:t xml:space="preserve"> Comprende il diploma di qualifica professionale di 2/3 anni, l'attestato di qualifica professionale e il diploma professionale IFP, il diploma di maturità/ diploma di istruzione secondaria superiore di 4/5 anni e il Certificato di specializzazione tecnica superiore IFTS.</w:t>
      </w:r>
    </w:p>
  </w:footnote>
  <w:footnote w:id="3">
    <w:p w14:paraId="0559BDF9" w14:textId="77777777" w:rsidR="003A0F52" w:rsidRDefault="003A0F52" w:rsidP="006F3500">
      <w:pPr>
        <w:pStyle w:val="Testonotaapidipagina"/>
        <w:spacing w:before="60"/>
        <w:jc w:val="both"/>
      </w:pPr>
      <w:r>
        <w:rPr>
          <w:color w:val="595959" w:themeColor="text1" w:themeTint="A6"/>
          <w:sz w:val="16"/>
          <w:szCs w:val="16"/>
          <w:vertAlign w:val="superscript"/>
        </w:rPr>
        <w:footnoteRef/>
      </w:r>
      <w:r>
        <w:rPr>
          <w:color w:val="595959" w:themeColor="text1" w:themeTint="A6"/>
          <w:sz w:val="16"/>
          <w:szCs w:val="16"/>
        </w:rPr>
        <w:t xml:space="preserve"> La categoria ‘Terziario e superiore’ comprende: i titoli terziari di I livello, che includono il Diploma di tecnico superiore ITS, la Laurea o il Diploma accademico AFAM di I livello, il Diploma universitario (2-3 anni), la Scuola diretta a fini speciali, altro diploma terziario non universitario; i titoli terziari di II livello, che includono la Laurea magistrale/specialistica (biennale, a ciclo unico, diploma di laurea di 4-6 anni), il Diploma accademico di II livello (compresi i titoli del vecchio ordinamento – livello unico); il dottorato di ricerca, che include il diploma accademico di formazione alla ricerca. </w:t>
      </w:r>
      <w:r>
        <w:t xml:space="preserve">  </w:t>
      </w:r>
    </w:p>
  </w:footnote>
  <w:footnote w:id="4">
    <w:p w14:paraId="43AD0652" w14:textId="77777777" w:rsidR="003A0F52" w:rsidRDefault="003A0F52" w:rsidP="009A34C5">
      <w:pPr>
        <w:jc w:val="both"/>
      </w:pPr>
      <w:r w:rsidRPr="00A93CA6">
        <w:rPr>
          <w:rStyle w:val="Rimandonotaapidipagina"/>
          <w:rFonts w:ascii="Trebuchet MS" w:hAnsi="Trebuchet MS"/>
          <w:color w:val="5F5F5F"/>
          <w:sz w:val="20"/>
          <w:szCs w:val="20"/>
        </w:rPr>
        <w:footnoteRef/>
      </w:r>
      <w:r w:rsidRPr="00A93CA6">
        <w:rPr>
          <w:rFonts w:ascii="Trebuchet MS" w:hAnsi="Trebuchet MS"/>
          <w:color w:val="5F5F5F"/>
        </w:rPr>
        <w:t xml:space="preserve"> </w:t>
      </w:r>
      <w:r w:rsidRPr="00A93CA6">
        <w:rPr>
          <w:rFonts w:ascii="Trebuchet MS" w:hAnsi="Trebuchet MS"/>
          <w:color w:val="5F5F5F"/>
          <w:sz w:val="18"/>
          <w:szCs w:val="18"/>
        </w:rPr>
        <w:t>DPS, Le aree interne: di quali territori parliamo? Nota esplicativa sul metodo di classificazione delle aree (</w:t>
      </w:r>
      <w:hyperlink r:id="rId2" w:history="1">
        <w:r w:rsidRPr="00A93CA6">
          <w:rPr>
            <w:rStyle w:val="Collegamentoipertestuale"/>
            <w:rFonts w:ascii="Trebuchet MS" w:hAnsi="Trebuchet MS"/>
            <w:color w:val="5F5F5F"/>
            <w:sz w:val="18"/>
            <w:szCs w:val="18"/>
          </w:rPr>
          <w:t>http://old2018.agenziacoesione.gov.it/opencms/export/sites/dps/it/documentazione/Aree_interne/Nota_metodologica_Aree_interne.pdf</w:t>
        </w:r>
      </w:hyperlink>
      <w:r w:rsidRPr="00A93CA6">
        <w:rPr>
          <w:rFonts w:ascii="Trebuchet MS" w:hAnsi="Trebuchet MS"/>
          <w:color w:val="5F5F5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DA5D" w14:textId="07F9ED4D" w:rsidR="003A0F52" w:rsidRDefault="003A0F52">
    <w:pPr>
      <w:pStyle w:val="Intestazione"/>
    </w:pPr>
    <w:r w:rsidRPr="003C41E2">
      <w:rPr>
        <w:noProof/>
      </w:rPr>
      <w:drawing>
        <wp:inline distT="0" distB="0" distL="0" distR="0" wp14:anchorId="2DBE4B9D" wp14:editId="78678F16">
          <wp:extent cx="1631120" cy="60963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utivo HD:Users:Nicola:Desktop:WORK:ISTAT:GADGET:Logo censiment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498" cy="609772"/>
                  </a:xfrm>
                  <a:prstGeom prst="rect">
                    <a:avLst/>
                  </a:prstGeom>
                  <a:noFill/>
                  <a:ln>
                    <a:noFill/>
                  </a:ln>
                </pic:spPr>
              </pic:pic>
            </a:graphicData>
          </a:graphic>
        </wp:inline>
      </w:drawing>
    </w:r>
  </w:p>
  <w:p w14:paraId="1A1155B4" w14:textId="77777777" w:rsidR="003A0F52" w:rsidRDefault="003A0F52" w:rsidP="00E072ED">
    <w:pPr>
      <w:pStyle w:val="Intestazione"/>
      <w:spacing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3AA79" w14:textId="7ABB3C64" w:rsidR="003A0F52" w:rsidRDefault="003A0F52" w:rsidP="00BA7CD5">
    <w:pPr>
      <w:pStyle w:val="Paragrafoelenco"/>
      <w:ind w:left="0"/>
      <w:jc w:val="both"/>
    </w:pPr>
    <w:r>
      <w:rPr>
        <w:noProof/>
      </w:rPr>
      <mc:AlternateContent>
        <mc:Choice Requires="wps">
          <w:drawing>
            <wp:anchor distT="0" distB="0" distL="114300" distR="114300" simplePos="0" relativeHeight="251659776" behindDoc="0" locked="0" layoutInCell="1" hidden="0" allowOverlap="1" wp14:anchorId="0CEFB927" wp14:editId="639ED4CC">
              <wp:simplePos x="0" y="0"/>
              <wp:positionH relativeFrom="margin">
                <wp:posOffset>3175635</wp:posOffset>
              </wp:positionH>
              <wp:positionV relativeFrom="paragraph">
                <wp:posOffset>183515</wp:posOffset>
              </wp:positionV>
              <wp:extent cx="2914650" cy="428625"/>
              <wp:effectExtent l="0" t="0" r="0" b="9525"/>
              <wp:wrapSquare wrapText="bothSides" distT="0" distB="0" distL="114300" distR="114300"/>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4650" cy="428625"/>
                      </a:xfrm>
                      <a:prstGeom prst="rect">
                        <a:avLst/>
                      </a:prstGeom>
                      <a:noFill/>
                      <a:ln>
                        <a:noFill/>
                      </a:ln>
                    </wps:spPr>
                    <wps:txbx>
                      <w:txbxContent>
                        <w:p w14:paraId="3C716E71" w14:textId="56985DB2" w:rsidR="003A0F52" w:rsidRPr="006254A8" w:rsidRDefault="00C155BD" w:rsidP="00EB7372">
                          <w:pPr>
                            <w:jc w:val="right"/>
                            <w:rPr>
                              <w:rFonts w:ascii="Arial Narrow" w:hAnsi="Arial Narrow"/>
                              <w:b/>
                              <w:color w:val="A6A6A6" w:themeColor="background1" w:themeShade="A6"/>
                              <w:sz w:val="26"/>
                              <w:szCs w:val="26"/>
                            </w:rPr>
                          </w:pPr>
                          <w:r>
                            <w:rPr>
                              <w:rFonts w:ascii="Arial Narrow" w:hAnsi="Arial Narrow"/>
                              <w:b/>
                              <w:color w:val="A6A6A6" w:themeColor="background1" w:themeShade="A6"/>
                              <w:sz w:val="26"/>
                              <w:szCs w:val="26"/>
                            </w:rPr>
                            <w:t>15</w:t>
                          </w:r>
                          <w:r w:rsidR="003A0F52">
                            <w:rPr>
                              <w:rFonts w:ascii="Arial Narrow" w:hAnsi="Arial Narrow"/>
                              <w:b/>
                              <w:color w:val="A6A6A6" w:themeColor="background1" w:themeShade="A6"/>
                              <w:sz w:val="26"/>
                              <w:szCs w:val="26"/>
                            </w:rPr>
                            <w:t xml:space="preserve"> marzo 2022 </w:t>
                          </w:r>
                          <w:r w:rsidR="003A0F52" w:rsidRPr="006254A8">
                            <w:rPr>
                              <w:rFonts w:ascii="Arial Narrow" w:hAnsi="Arial Narrow"/>
                              <w:b/>
                              <w:color w:val="A6A6A6" w:themeColor="background1" w:themeShade="A6"/>
                              <w:sz w:val="26"/>
                              <w:szCs w:val="26"/>
                            </w:rPr>
                            <w:t xml:space="preserve"> </w:t>
                          </w:r>
                        </w:p>
                      </w:txbxContent>
                    </wps:txbx>
                    <wps:bodyPr rot="0" vert="horz" wrap="square" lIns="18000" tIns="10800" rIns="1800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FB927" id="_x0000_t202" coordsize="21600,21600" o:spt="202" path="m,l,21600r21600,l21600,xe">
              <v:stroke joinstyle="miter"/>
              <v:path gradientshapeok="t" o:connecttype="rect"/>
            </v:shapetype>
            <v:shape id="Casella di testo 3" o:spid="_x0000_s1026" type="#_x0000_t202" style="position:absolute;left:0;text-align:left;margin-left:250.05pt;margin-top:14.45pt;width:229.5pt;height:33.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" filled="f" stroked="f">
              <v:path arrowok="t"/>
              <v:textbox inset=".5mm,.3mm,.5mm,.3mm">
                <w:txbxContent>
                  <w:p w14:paraId="3C716E71" w14:textId="56985DB2" w:rsidR="003A0F52" w:rsidRPr="006254A8" w:rsidRDefault="00C155BD" w:rsidP="00EB7372">
                    <w:pPr>
                      <w:jc w:val="right"/>
                      <w:rPr>
                        <w:rFonts w:ascii="Arial Narrow" w:hAnsi="Arial Narrow"/>
                        <w:b/>
                        <w:color w:val="A6A6A6" w:themeColor="background1" w:themeShade="A6"/>
                        <w:sz w:val="26"/>
                        <w:szCs w:val="26"/>
                      </w:rPr>
                    </w:pPr>
                    <w:r>
                      <w:rPr>
                        <w:rFonts w:ascii="Arial Narrow" w:hAnsi="Arial Narrow"/>
                        <w:b/>
                        <w:color w:val="A6A6A6" w:themeColor="background1" w:themeShade="A6"/>
                        <w:sz w:val="26"/>
                        <w:szCs w:val="26"/>
                      </w:rPr>
                      <w:t>15</w:t>
                    </w:r>
                    <w:r w:rsidR="003A0F52">
                      <w:rPr>
                        <w:rFonts w:ascii="Arial Narrow" w:hAnsi="Arial Narrow"/>
                        <w:b/>
                        <w:color w:val="A6A6A6" w:themeColor="background1" w:themeShade="A6"/>
                        <w:sz w:val="26"/>
                        <w:szCs w:val="26"/>
                      </w:rPr>
                      <w:t xml:space="preserve"> marzo 2022 </w:t>
                    </w:r>
                    <w:r w:rsidR="003A0F52" w:rsidRPr="006254A8">
                      <w:rPr>
                        <w:rFonts w:ascii="Arial Narrow" w:hAnsi="Arial Narrow"/>
                        <w:b/>
                        <w:color w:val="A6A6A6" w:themeColor="background1" w:themeShade="A6"/>
                        <w:sz w:val="26"/>
                        <w:szCs w:val="26"/>
                      </w:rPr>
                      <w:t xml:space="preserve"> </w:t>
                    </w:r>
                  </w:p>
                </w:txbxContent>
              </v:textbox>
              <w10:wrap type="square" anchorx="margin"/>
            </v:shape>
          </w:pict>
        </mc:Fallback>
      </mc:AlternateContent>
    </w:r>
    <w:r w:rsidRPr="00A815C7">
      <w:rPr>
        <w:noProof/>
        <w:color w:val="000000"/>
      </w:rPr>
      <w:drawing>
        <wp:inline distT="0" distB="0" distL="0" distR="0" wp14:anchorId="287E7308" wp14:editId="160FD014">
          <wp:extent cx="2694342" cy="568569"/>
          <wp:effectExtent l="0" t="0" r="0" b="317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00000" cy="5697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446"/>
    <w:multiLevelType w:val="hybridMultilevel"/>
    <w:tmpl w:val="86308360"/>
    <w:lvl w:ilvl="0" w:tplc="58F07F4A">
      <w:start w:val="1"/>
      <w:numFmt w:val="decimal"/>
      <w:pStyle w:val="01Titolocapitolo"/>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F1250D1"/>
    <w:multiLevelType w:val="hybridMultilevel"/>
    <w:tmpl w:val="78D4C65E"/>
    <w:lvl w:ilvl="0" w:tplc="B128F748">
      <w:start w:val="1"/>
      <w:numFmt w:val="bullet"/>
      <w:pStyle w:val="04Elencopuntato"/>
      <w:lvlText w:val=""/>
      <w:lvlJc w:val="left"/>
      <w:pPr>
        <w:ind w:left="502" w:hanging="360"/>
      </w:pPr>
      <w:rPr>
        <w:rFonts w:ascii="Wingdings 2" w:hAnsi="Wingdings 2" w:hint="default"/>
        <w:color w:val="CC000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 w15:restartNumberingAfterBreak="0">
    <w:nsid w:val="10937E31"/>
    <w:multiLevelType w:val="hybridMultilevel"/>
    <w:tmpl w:val="7D4AF5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AE0B8D"/>
    <w:multiLevelType w:val="multilevel"/>
    <w:tmpl w:val="57164C58"/>
    <w:lvl w:ilvl="0">
      <w:start w:val="3"/>
      <w:numFmt w:val="decimal"/>
      <w:lvlText w:val="%1."/>
      <w:lvlJc w:val="left"/>
      <w:pPr>
        <w:ind w:left="1778"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 w15:restartNumberingAfterBreak="0">
    <w:nsid w:val="19923909"/>
    <w:multiLevelType w:val="hybridMultilevel"/>
    <w:tmpl w:val="9F10C7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D07FB8"/>
    <w:multiLevelType w:val="hybridMultilevel"/>
    <w:tmpl w:val="7B3AFD20"/>
    <w:lvl w:ilvl="0" w:tplc="52D2C02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7EC4727"/>
    <w:multiLevelType w:val="hybridMultilevel"/>
    <w:tmpl w:val="F64E9172"/>
    <w:lvl w:ilvl="0" w:tplc="9DAC7DE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CE635FA"/>
    <w:multiLevelType w:val="hybridMultilevel"/>
    <w:tmpl w:val="4B9E4FFA"/>
    <w:lvl w:ilvl="0" w:tplc="EA04566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A226446"/>
    <w:multiLevelType w:val="hybridMultilevel"/>
    <w:tmpl w:val="859641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D906BB9"/>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10" w15:restartNumberingAfterBreak="0">
    <w:nsid w:val="3EE10808"/>
    <w:multiLevelType w:val="hybridMultilevel"/>
    <w:tmpl w:val="A704BB72"/>
    <w:lvl w:ilvl="0" w:tplc="66DA58E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CC13B7"/>
    <w:multiLevelType w:val="hybridMultilevel"/>
    <w:tmpl w:val="F6A83A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2266111"/>
    <w:multiLevelType w:val="hybridMultilevel"/>
    <w:tmpl w:val="9F3C5F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2FD1582"/>
    <w:multiLevelType w:val="multilevel"/>
    <w:tmpl w:val="B0C879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192CC4"/>
    <w:multiLevelType w:val="multilevel"/>
    <w:tmpl w:val="F7B0E23E"/>
    <w:styleLink w:val="Ann07Testoelencopuntato"/>
    <w:lvl w:ilvl="0">
      <w:start w:val="1"/>
      <w:numFmt w:val="bullet"/>
      <w:lvlText w:val=""/>
      <w:lvlJc w:val="left"/>
      <w:pPr>
        <w:tabs>
          <w:tab w:val="num" w:pos="794"/>
        </w:tabs>
        <w:ind w:left="794" w:hanging="397"/>
      </w:pPr>
      <w:rPr>
        <w:rFonts w:ascii="Symbol" w:hAnsi="Symbol" w:hint="default"/>
        <w:sz w:val="22"/>
        <w:szCs w:val="22"/>
      </w:rPr>
    </w:lvl>
    <w:lvl w:ilvl="1">
      <w:start w:val="1"/>
      <w:numFmt w:val="bullet"/>
      <w:lvlText w:val=""/>
      <w:lvlJc w:val="left"/>
      <w:pPr>
        <w:tabs>
          <w:tab w:val="num" w:pos="680"/>
        </w:tabs>
        <w:ind w:left="680" w:hanging="28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8E110F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2B405F"/>
    <w:multiLevelType w:val="hybridMultilevel"/>
    <w:tmpl w:val="841C86A0"/>
    <w:lvl w:ilvl="0" w:tplc="EA045662">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322B64"/>
    <w:multiLevelType w:val="hybridMultilevel"/>
    <w:tmpl w:val="064876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FC205D5"/>
    <w:multiLevelType w:val="multilevel"/>
    <w:tmpl w:val="E26492C2"/>
    <w:lvl w:ilvl="0">
      <w:start w:val="2"/>
      <w:numFmt w:val="decimal"/>
      <w:lvlText w:val="%1."/>
      <w:lvlJc w:val="left"/>
      <w:pPr>
        <w:ind w:left="1778"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9" w15:restartNumberingAfterBreak="0">
    <w:nsid w:val="4FE66AB6"/>
    <w:multiLevelType w:val="hybridMultilevel"/>
    <w:tmpl w:val="FECED2AC"/>
    <w:lvl w:ilvl="0" w:tplc="9D8EC270">
      <w:numFmt w:val="bullet"/>
      <w:lvlText w:val="-"/>
      <w:lvlJc w:val="left"/>
      <w:pPr>
        <w:ind w:left="720" w:hanging="360"/>
      </w:pPr>
      <w:rPr>
        <w:rFonts w:ascii="Trebuchet MS" w:eastAsia="Times New Roman" w:hAnsi="Trebuchet MS"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53D2615D"/>
    <w:multiLevelType w:val="multilevel"/>
    <w:tmpl w:val="015A15DE"/>
    <w:styleLink w:val="Ann05Testoelenconumerico"/>
    <w:lvl w:ilvl="0">
      <w:start w:val="1"/>
      <w:numFmt w:val="decimal"/>
      <w:lvlText w:val="%1)"/>
      <w:lvlJc w:val="left"/>
      <w:pPr>
        <w:tabs>
          <w:tab w:val="num" w:pos="794"/>
        </w:tabs>
        <w:ind w:left="794" w:hanging="397"/>
      </w:pPr>
      <w:rPr>
        <w:rFonts w:hint="default"/>
      </w:rPr>
    </w:lvl>
    <w:lvl w:ilvl="1">
      <w:start w:val="1"/>
      <w:numFmt w:val="decimal"/>
      <w:lvlText w:val="%2)"/>
      <w:lvlJc w:val="left"/>
      <w:pPr>
        <w:tabs>
          <w:tab w:val="num" w:pos="964"/>
        </w:tabs>
        <w:ind w:left="964" w:hanging="284"/>
      </w:pPr>
      <w:rPr>
        <w:rFonts w:ascii="Times New Roman" w:hAnsi="Times New Roman" w:hint="default"/>
        <w:b w:val="0"/>
        <w:i w:val="0"/>
        <w:sz w:val="22"/>
        <w:szCs w:val="22"/>
      </w:rPr>
    </w:lvl>
    <w:lvl w:ilvl="2">
      <w:start w:val="1"/>
      <w:numFmt w:val="decimal"/>
      <w:lvlText w:val="%3)"/>
      <w:lvlJc w:val="left"/>
      <w:pPr>
        <w:tabs>
          <w:tab w:val="num" w:pos="964"/>
        </w:tabs>
        <w:ind w:left="964" w:hanging="284"/>
      </w:pPr>
      <w:rPr>
        <w:rFonts w:hint="default"/>
      </w:rPr>
    </w:lvl>
    <w:lvl w:ilvl="3">
      <w:start w:val="1"/>
      <w:numFmt w:val="decimal"/>
      <w:lvlText w:val="%4)"/>
      <w:lvlJc w:val="left"/>
      <w:pPr>
        <w:tabs>
          <w:tab w:val="num" w:pos="964"/>
        </w:tabs>
        <w:ind w:left="964" w:hanging="284"/>
      </w:pPr>
      <w:rPr>
        <w:rFonts w:ascii="Times New Roman" w:hAnsi="Times New Roman"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3F51C35"/>
    <w:multiLevelType w:val="multilevel"/>
    <w:tmpl w:val="858854B2"/>
    <w:lvl w:ilvl="0">
      <w:start w:val="2"/>
      <w:numFmt w:val="decimal"/>
      <w:lvlText w:val="%1"/>
      <w:lvlJc w:val="left"/>
      <w:pPr>
        <w:ind w:left="644"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533" w:hanging="720"/>
      </w:pPr>
      <w:rPr>
        <w:rFonts w:hint="default"/>
      </w:rPr>
    </w:lvl>
    <w:lvl w:ilvl="4">
      <w:start w:val="1"/>
      <w:numFmt w:val="decimal"/>
      <w:lvlText w:val="%1.%2.%3.%4.%5"/>
      <w:lvlJc w:val="left"/>
      <w:pPr>
        <w:ind w:left="8736" w:hanging="1080"/>
      </w:pPr>
      <w:rPr>
        <w:rFonts w:hint="default"/>
      </w:rPr>
    </w:lvl>
    <w:lvl w:ilvl="5">
      <w:start w:val="1"/>
      <w:numFmt w:val="decimal"/>
      <w:lvlText w:val="%1.%2.%3.%4.%5.%6"/>
      <w:lvlJc w:val="left"/>
      <w:pPr>
        <w:ind w:left="10579" w:hanging="1080"/>
      </w:pPr>
      <w:rPr>
        <w:rFonts w:hint="default"/>
      </w:rPr>
    </w:lvl>
    <w:lvl w:ilvl="6">
      <w:start w:val="1"/>
      <w:numFmt w:val="decimal"/>
      <w:lvlText w:val="%1.%2.%3.%4.%5.%6.%7"/>
      <w:lvlJc w:val="left"/>
      <w:pPr>
        <w:ind w:left="12782" w:hanging="1440"/>
      </w:pPr>
      <w:rPr>
        <w:rFonts w:hint="default"/>
      </w:rPr>
    </w:lvl>
    <w:lvl w:ilvl="7">
      <w:start w:val="1"/>
      <w:numFmt w:val="decimal"/>
      <w:lvlText w:val="%1.%2.%3.%4.%5.%6.%7.%8"/>
      <w:lvlJc w:val="left"/>
      <w:pPr>
        <w:ind w:left="14625" w:hanging="1440"/>
      </w:pPr>
      <w:rPr>
        <w:rFonts w:hint="default"/>
      </w:rPr>
    </w:lvl>
    <w:lvl w:ilvl="8">
      <w:start w:val="1"/>
      <w:numFmt w:val="decimal"/>
      <w:lvlText w:val="%1.%2.%3.%4.%5.%6.%7.%8.%9"/>
      <w:lvlJc w:val="left"/>
      <w:pPr>
        <w:ind w:left="16828" w:hanging="1800"/>
      </w:pPr>
      <w:rPr>
        <w:rFonts w:hint="default"/>
      </w:rPr>
    </w:lvl>
  </w:abstractNum>
  <w:abstractNum w:abstractNumId="22" w15:restartNumberingAfterBreak="0">
    <w:nsid w:val="57331640"/>
    <w:multiLevelType w:val="multilevel"/>
    <w:tmpl w:val="42787A64"/>
    <w:lvl w:ilvl="0">
      <w:start w:val="1"/>
      <w:numFmt w:val="decimal"/>
      <w:lvlText w:val="%1."/>
      <w:lvlJc w:val="left"/>
      <w:pPr>
        <w:ind w:left="1778" w:hanging="360"/>
      </w:pPr>
      <w:rPr>
        <w:rFonts w:hint="default"/>
      </w:rPr>
    </w:lvl>
    <w:lvl w:ilvl="1">
      <w:start w:val="2"/>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3" w15:restartNumberingAfterBreak="0">
    <w:nsid w:val="578962D3"/>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4" w15:restartNumberingAfterBreak="0">
    <w:nsid w:val="589212EE"/>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5" w15:restartNumberingAfterBreak="0">
    <w:nsid w:val="5C1020E1"/>
    <w:multiLevelType w:val="multilevel"/>
    <w:tmpl w:val="4B20980C"/>
    <w:lvl w:ilvl="0">
      <w:start w:val="1"/>
      <w:numFmt w:val="decimal"/>
      <w:pStyle w:val="00Titoloparagrnumerato"/>
      <w:lvlText w:val="%1."/>
      <w:lvlJc w:val="left"/>
      <w:pPr>
        <w:ind w:left="1778" w:hanging="360"/>
      </w:pPr>
      <w:rPr>
        <w:rFonts w:hint="default"/>
      </w:rPr>
    </w:lvl>
    <w:lvl w:ilvl="1">
      <w:start w:val="1"/>
      <w:numFmt w:val="decimal"/>
      <w:pStyle w:val="00Titolosottoparnumerato"/>
      <w:lvlText w:val="%1.%2."/>
      <w:lvlJc w:val="left"/>
      <w:pPr>
        <w:ind w:left="3694"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26" w15:restartNumberingAfterBreak="0">
    <w:nsid w:val="5CE5139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48495C"/>
    <w:multiLevelType w:val="hybridMultilevel"/>
    <w:tmpl w:val="FFACFD0E"/>
    <w:lvl w:ilvl="0" w:tplc="BACA5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F80855"/>
    <w:multiLevelType w:val="multilevel"/>
    <w:tmpl w:val="2CE26776"/>
    <w:styleLink w:val="Ann06Testoelencoalfabetico"/>
    <w:lvl w:ilvl="0">
      <w:start w:val="1"/>
      <w:numFmt w:val="lowerLetter"/>
      <w:lvlText w:val="%1)"/>
      <w:lvlJc w:val="left"/>
      <w:pPr>
        <w:tabs>
          <w:tab w:val="num" w:pos="794"/>
        </w:tabs>
        <w:ind w:left="794" w:hanging="397"/>
      </w:pPr>
      <w:rPr>
        <w:rFonts w:ascii="Times New Roman" w:hAnsi="Times New Roman" w:hint="default"/>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A796152"/>
    <w:multiLevelType w:val="multilevel"/>
    <w:tmpl w:val="A9CA27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58556E"/>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31" w15:restartNumberingAfterBreak="0">
    <w:nsid w:val="7090013A"/>
    <w:multiLevelType w:val="hybridMultilevel"/>
    <w:tmpl w:val="5BB234B0"/>
    <w:lvl w:ilvl="0" w:tplc="0410000D">
      <w:start w:val="1"/>
      <w:numFmt w:val="bullet"/>
      <w:lvlText w:val=""/>
      <w:lvlJc w:val="left"/>
      <w:pPr>
        <w:ind w:left="1632" w:hanging="360"/>
      </w:pPr>
      <w:rPr>
        <w:rFonts w:ascii="Wingdings" w:hAnsi="Wingdings" w:hint="default"/>
      </w:rPr>
    </w:lvl>
    <w:lvl w:ilvl="1" w:tplc="04100003" w:tentative="1">
      <w:start w:val="1"/>
      <w:numFmt w:val="bullet"/>
      <w:lvlText w:val="o"/>
      <w:lvlJc w:val="left"/>
      <w:pPr>
        <w:ind w:left="2352" w:hanging="360"/>
      </w:pPr>
      <w:rPr>
        <w:rFonts w:ascii="Courier New" w:hAnsi="Courier New" w:cs="Courier New" w:hint="default"/>
      </w:rPr>
    </w:lvl>
    <w:lvl w:ilvl="2" w:tplc="04100005" w:tentative="1">
      <w:start w:val="1"/>
      <w:numFmt w:val="bullet"/>
      <w:lvlText w:val=""/>
      <w:lvlJc w:val="left"/>
      <w:pPr>
        <w:ind w:left="3072" w:hanging="360"/>
      </w:pPr>
      <w:rPr>
        <w:rFonts w:ascii="Wingdings" w:hAnsi="Wingdings" w:hint="default"/>
      </w:rPr>
    </w:lvl>
    <w:lvl w:ilvl="3" w:tplc="04100001" w:tentative="1">
      <w:start w:val="1"/>
      <w:numFmt w:val="bullet"/>
      <w:lvlText w:val=""/>
      <w:lvlJc w:val="left"/>
      <w:pPr>
        <w:ind w:left="3792" w:hanging="360"/>
      </w:pPr>
      <w:rPr>
        <w:rFonts w:ascii="Symbol" w:hAnsi="Symbol" w:hint="default"/>
      </w:rPr>
    </w:lvl>
    <w:lvl w:ilvl="4" w:tplc="04100003" w:tentative="1">
      <w:start w:val="1"/>
      <w:numFmt w:val="bullet"/>
      <w:lvlText w:val="o"/>
      <w:lvlJc w:val="left"/>
      <w:pPr>
        <w:ind w:left="4512" w:hanging="360"/>
      </w:pPr>
      <w:rPr>
        <w:rFonts w:ascii="Courier New" w:hAnsi="Courier New" w:cs="Courier New" w:hint="default"/>
      </w:rPr>
    </w:lvl>
    <w:lvl w:ilvl="5" w:tplc="04100005" w:tentative="1">
      <w:start w:val="1"/>
      <w:numFmt w:val="bullet"/>
      <w:lvlText w:val=""/>
      <w:lvlJc w:val="left"/>
      <w:pPr>
        <w:ind w:left="5232" w:hanging="360"/>
      </w:pPr>
      <w:rPr>
        <w:rFonts w:ascii="Wingdings" w:hAnsi="Wingdings" w:hint="default"/>
      </w:rPr>
    </w:lvl>
    <w:lvl w:ilvl="6" w:tplc="04100001" w:tentative="1">
      <w:start w:val="1"/>
      <w:numFmt w:val="bullet"/>
      <w:lvlText w:val=""/>
      <w:lvlJc w:val="left"/>
      <w:pPr>
        <w:ind w:left="5952" w:hanging="360"/>
      </w:pPr>
      <w:rPr>
        <w:rFonts w:ascii="Symbol" w:hAnsi="Symbol" w:hint="default"/>
      </w:rPr>
    </w:lvl>
    <w:lvl w:ilvl="7" w:tplc="04100003" w:tentative="1">
      <w:start w:val="1"/>
      <w:numFmt w:val="bullet"/>
      <w:lvlText w:val="o"/>
      <w:lvlJc w:val="left"/>
      <w:pPr>
        <w:ind w:left="6672" w:hanging="360"/>
      </w:pPr>
      <w:rPr>
        <w:rFonts w:ascii="Courier New" w:hAnsi="Courier New" w:cs="Courier New" w:hint="default"/>
      </w:rPr>
    </w:lvl>
    <w:lvl w:ilvl="8" w:tplc="04100005" w:tentative="1">
      <w:start w:val="1"/>
      <w:numFmt w:val="bullet"/>
      <w:lvlText w:val=""/>
      <w:lvlJc w:val="left"/>
      <w:pPr>
        <w:ind w:left="7392" w:hanging="360"/>
      </w:pPr>
      <w:rPr>
        <w:rFonts w:ascii="Wingdings" w:hAnsi="Wingdings" w:hint="default"/>
      </w:rPr>
    </w:lvl>
  </w:abstractNum>
  <w:abstractNum w:abstractNumId="32" w15:restartNumberingAfterBreak="0">
    <w:nsid w:val="7A4A4395"/>
    <w:multiLevelType w:val="hybridMultilevel"/>
    <w:tmpl w:val="8DD2154A"/>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num w:numId="1">
    <w:abstractNumId w:val="20"/>
  </w:num>
  <w:num w:numId="2">
    <w:abstractNumId w:val="28"/>
  </w:num>
  <w:num w:numId="3">
    <w:abstractNumId w:val="14"/>
  </w:num>
  <w:num w:numId="4">
    <w:abstractNumId w:val="0"/>
  </w:num>
  <w:num w:numId="5">
    <w:abstractNumId w:val="1"/>
  </w:num>
  <w:num w:numId="6">
    <w:abstractNumId w:val="25"/>
  </w:num>
  <w:num w:numId="7">
    <w:abstractNumId w:val="9"/>
  </w:num>
  <w:num w:numId="8">
    <w:abstractNumId w:val="24"/>
  </w:num>
  <w:num w:numId="9">
    <w:abstractNumId w:val="30"/>
  </w:num>
  <w:num w:numId="10">
    <w:abstractNumId w:val="23"/>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3"/>
  </w:num>
  <w:num w:numId="14">
    <w:abstractNumId w:val="21"/>
  </w:num>
  <w:num w:numId="15">
    <w:abstractNumId w:val="32"/>
  </w:num>
  <w:num w:numId="16">
    <w:abstractNumId w:val="32"/>
  </w:num>
  <w:num w:numId="17">
    <w:abstractNumId w:val="26"/>
  </w:num>
  <w:num w:numId="18">
    <w:abstractNumId w:val="15"/>
  </w:num>
  <w:num w:numId="19">
    <w:abstractNumId w:val="22"/>
  </w:num>
  <w:num w:numId="20">
    <w:abstractNumId w:val="18"/>
  </w:num>
  <w:num w:numId="21">
    <w:abstractNumId w:val="3"/>
  </w:num>
  <w:num w:numId="22">
    <w:abstractNumId w:val="8"/>
  </w:num>
  <w:num w:numId="23">
    <w:abstractNumId w:val="4"/>
  </w:num>
  <w:num w:numId="24">
    <w:abstractNumId w:val="6"/>
  </w:num>
  <w:num w:numId="25">
    <w:abstractNumId w:val="7"/>
  </w:num>
  <w:num w:numId="26">
    <w:abstractNumId w:val="16"/>
  </w:num>
  <w:num w:numId="27">
    <w:abstractNumId w:val="10"/>
  </w:num>
  <w:num w:numId="28">
    <w:abstractNumId w:val="31"/>
  </w:num>
  <w:num w:numId="29">
    <w:abstractNumId w:val="11"/>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
  </w:num>
  <w:num w:numId="34">
    <w:abstractNumId w:val="12"/>
  </w:num>
  <w:num w:numId="35">
    <w:abstractNumId w:val="5"/>
  </w:num>
  <w:num w:numId="36">
    <w:abstractNumId w:val="17"/>
  </w:num>
  <w:num w:numId="3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969"/>
    <w:rsid w:val="000003C9"/>
    <w:rsid w:val="00000DE6"/>
    <w:rsid w:val="0000116C"/>
    <w:rsid w:val="000011C5"/>
    <w:rsid w:val="00002435"/>
    <w:rsid w:val="00002614"/>
    <w:rsid w:val="00002922"/>
    <w:rsid w:val="00002A61"/>
    <w:rsid w:val="000030F5"/>
    <w:rsid w:val="0000326A"/>
    <w:rsid w:val="000037F1"/>
    <w:rsid w:val="000040B8"/>
    <w:rsid w:val="000041E1"/>
    <w:rsid w:val="00004635"/>
    <w:rsid w:val="00004B93"/>
    <w:rsid w:val="000051F4"/>
    <w:rsid w:val="00005F85"/>
    <w:rsid w:val="00006003"/>
    <w:rsid w:val="0000612B"/>
    <w:rsid w:val="000063C2"/>
    <w:rsid w:val="00006524"/>
    <w:rsid w:val="000065BB"/>
    <w:rsid w:val="00006CED"/>
    <w:rsid w:val="0000755C"/>
    <w:rsid w:val="00007B66"/>
    <w:rsid w:val="00011848"/>
    <w:rsid w:val="00011C81"/>
    <w:rsid w:val="000125E3"/>
    <w:rsid w:val="0001267D"/>
    <w:rsid w:val="00012895"/>
    <w:rsid w:val="00012DB8"/>
    <w:rsid w:val="00013457"/>
    <w:rsid w:val="00013603"/>
    <w:rsid w:val="00013C34"/>
    <w:rsid w:val="00013E6D"/>
    <w:rsid w:val="00013E73"/>
    <w:rsid w:val="00014076"/>
    <w:rsid w:val="0001411E"/>
    <w:rsid w:val="000145FF"/>
    <w:rsid w:val="00015250"/>
    <w:rsid w:val="000157D0"/>
    <w:rsid w:val="00015C82"/>
    <w:rsid w:val="0001704F"/>
    <w:rsid w:val="00017595"/>
    <w:rsid w:val="00017D4B"/>
    <w:rsid w:val="00017FA8"/>
    <w:rsid w:val="00020238"/>
    <w:rsid w:val="00020C53"/>
    <w:rsid w:val="00020E92"/>
    <w:rsid w:val="00021346"/>
    <w:rsid w:val="0002160C"/>
    <w:rsid w:val="00021EFB"/>
    <w:rsid w:val="000221F6"/>
    <w:rsid w:val="00022809"/>
    <w:rsid w:val="00023302"/>
    <w:rsid w:val="00023484"/>
    <w:rsid w:val="000234B7"/>
    <w:rsid w:val="000239E2"/>
    <w:rsid w:val="00024F86"/>
    <w:rsid w:val="000264A7"/>
    <w:rsid w:val="0002743D"/>
    <w:rsid w:val="00027A66"/>
    <w:rsid w:val="000301D4"/>
    <w:rsid w:val="000307C0"/>
    <w:rsid w:val="000309E0"/>
    <w:rsid w:val="00030B87"/>
    <w:rsid w:val="00030CB4"/>
    <w:rsid w:val="0003132E"/>
    <w:rsid w:val="0003164A"/>
    <w:rsid w:val="00031A25"/>
    <w:rsid w:val="00031B49"/>
    <w:rsid w:val="000320E2"/>
    <w:rsid w:val="0003345A"/>
    <w:rsid w:val="000351AB"/>
    <w:rsid w:val="00035A52"/>
    <w:rsid w:val="0003613B"/>
    <w:rsid w:val="000368AB"/>
    <w:rsid w:val="00037098"/>
    <w:rsid w:val="000379F3"/>
    <w:rsid w:val="0004036C"/>
    <w:rsid w:val="00040AE0"/>
    <w:rsid w:val="00040C60"/>
    <w:rsid w:val="00040DD7"/>
    <w:rsid w:val="000413C6"/>
    <w:rsid w:val="0004157C"/>
    <w:rsid w:val="00041692"/>
    <w:rsid w:val="000417E6"/>
    <w:rsid w:val="00041D14"/>
    <w:rsid w:val="00042264"/>
    <w:rsid w:val="00042480"/>
    <w:rsid w:val="00044DFC"/>
    <w:rsid w:val="00046858"/>
    <w:rsid w:val="00047251"/>
    <w:rsid w:val="0004732F"/>
    <w:rsid w:val="0004755B"/>
    <w:rsid w:val="00047761"/>
    <w:rsid w:val="00047873"/>
    <w:rsid w:val="00047DAC"/>
    <w:rsid w:val="00047F02"/>
    <w:rsid w:val="0005142D"/>
    <w:rsid w:val="00051D1A"/>
    <w:rsid w:val="000531BF"/>
    <w:rsid w:val="000543B1"/>
    <w:rsid w:val="00054676"/>
    <w:rsid w:val="00055034"/>
    <w:rsid w:val="0005511D"/>
    <w:rsid w:val="00055B69"/>
    <w:rsid w:val="00055BF3"/>
    <w:rsid w:val="0005680D"/>
    <w:rsid w:val="00057394"/>
    <w:rsid w:val="00057A47"/>
    <w:rsid w:val="00060D51"/>
    <w:rsid w:val="000612A8"/>
    <w:rsid w:val="0006138E"/>
    <w:rsid w:val="00061774"/>
    <w:rsid w:val="000621A2"/>
    <w:rsid w:val="00062A2F"/>
    <w:rsid w:val="00062AC3"/>
    <w:rsid w:val="00062C72"/>
    <w:rsid w:val="00062E75"/>
    <w:rsid w:val="0006428F"/>
    <w:rsid w:val="00065B84"/>
    <w:rsid w:val="0006622B"/>
    <w:rsid w:val="00066278"/>
    <w:rsid w:val="00066472"/>
    <w:rsid w:val="00066A42"/>
    <w:rsid w:val="00066BDD"/>
    <w:rsid w:val="00067650"/>
    <w:rsid w:val="00067BDE"/>
    <w:rsid w:val="00070AC5"/>
    <w:rsid w:val="00071152"/>
    <w:rsid w:val="000711AB"/>
    <w:rsid w:val="00072640"/>
    <w:rsid w:val="00072CF2"/>
    <w:rsid w:val="00072F3A"/>
    <w:rsid w:val="000736C9"/>
    <w:rsid w:val="0007491F"/>
    <w:rsid w:val="00074BBD"/>
    <w:rsid w:val="000755AC"/>
    <w:rsid w:val="00075ACB"/>
    <w:rsid w:val="00075D30"/>
    <w:rsid w:val="00075D8C"/>
    <w:rsid w:val="000760DD"/>
    <w:rsid w:val="0007668A"/>
    <w:rsid w:val="000769C6"/>
    <w:rsid w:val="00076A51"/>
    <w:rsid w:val="00077434"/>
    <w:rsid w:val="000806FC"/>
    <w:rsid w:val="00080CB8"/>
    <w:rsid w:val="000827EB"/>
    <w:rsid w:val="000834C9"/>
    <w:rsid w:val="00083963"/>
    <w:rsid w:val="000853C6"/>
    <w:rsid w:val="00085583"/>
    <w:rsid w:val="0008658A"/>
    <w:rsid w:val="00086CA3"/>
    <w:rsid w:val="00086CF0"/>
    <w:rsid w:val="000876F4"/>
    <w:rsid w:val="00090546"/>
    <w:rsid w:val="000907AD"/>
    <w:rsid w:val="000910B3"/>
    <w:rsid w:val="000926AD"/>
    <w:rsid w:val="00092F0B"/>
    <w:rsid w:val="00092F18"/>
    <w:rsid w:val="00093E74"/>
    <w:rsid w:val="000946DA"/>
    <w:rsid w:val="00095560"/>
    <w:rsid w:val="00095953"/>
    <w:rsid w:val="00095C82"/>
    <w:rsid w:val="00096585"/>
    <w:rsid w:val="000966D0"/>
    <w:rsid w:val="000966D2"/>
    <w:rsid w:val="0009672A"/>
    <w:rsid w:val="000969E3"/>
    <w:rsid w:val="000976BD"/>
    <w:rsid w:val="0009777E"/>
    <w:rsid w:val="000A0813"/>
    <w:rsid w:val="000A19F2"/>
    <w:rsid w:val="000A1AFB"/>
    <w:rsid w:val="000A205D"/>
    <w:rsid w:val="000A23B4"/>
    <w:rsid w:val="000A2408"/>
    <w:rsid w:val="000A2603"/>
    <w:rsid w:val="000A3016"/>
    <w:rsid w:val="000A313B"/>
    <w:rsid w:val="000A329C"/>
    <w:rsid w:val="000A3352"/>
    <w:rsid w:val="000A33A1"/>
    <w:rsid w:val="000A3921"/>
    <w:rsid w:val="000A3BD6"/>
    <w:rsid w:val="000A42EE"/>
    <w:rsid w:val="000A4608"/>
    <w:rsid w:val="000A4678"/>
    <w:rsid w:val="000A57EB"/>
    <w:rsid w:val="000A5A87"/>
    <w:rsid w:val="000A5AB0"/>
    <w:rsid w:val="000A65D6"/>
    <w:rsid w:val="000A6767"/>
    <w:rsid w:val="000A6814"/>
    <w:rsid w:val="000A6AE2"/>
    <w:rsid w:val="000A6F81"/>
    <w:rsid w:val="000A7767"/>
    <w:rsid w:val="000A7E3F"/>
    <w:rsid w:val="000B0741"/>
    <w:rsid w:val="000B08AB"/>
    <w:rsid w:val="000B0DAF"/>
    <w:rsid w:val="000B1658"/>
    <w:rsid w:val="000B2456"/>
    <w:rsid w:val="000B25DE"/>
    <w:rsid w:val="000B289F"/>
    <w:rsid w:val="000B30B7"/>
    <w:rsid w:val="000B3280"/>
    <w:rsid w:val="000B34C2"/>
    <w:rsid w:val="000B3AB5"/>
    <w:rsid w:val="000B4861"/>
    <w:rsid w:val="000B4A31"/>
    <w:rsid w:val="000B4B56"/>
    <w:rsid w:val="000B5618"/>
    <w:rsid w:val="000B5E74"/>
    <w:rsid w:val="000B6317"/>
    <w:rsid w:val="000B66E4"/>
    <w:rsid w:val="000B79B7"/>
    <w:rsid w:val="000B7B7B"/>
    <w:rsid w:val="000C024E"/>
    <w:rsid w:val="000C0528"/>
    <w:rsid w:val="000C0801"/>
    <w:rsid w:val="000C0DF8"/>
    <w:rsid w:val="000C11D6"/>
    <w:rsid w:val="000C121E"/>
    <w:rsid w:val="000C13AF"/>
    <w:rsid w:val="000C1C82"/>
    <w:rsid w:val="000C222D"/>
    <w:rsid w:val="000C3D43"/>
    <w:rsid w:val="000C42CC"/>
    <w:rsid w:val="000C4327"/>
    <w:rsid w:val="000C4A81"/>
    <w:rsid w:val="000C4F90"/>
    <w:rsid w:val="000C523A"/>
    <w:rsid w:val="000C6C65"/>
    <w:rsid w:val="000C772A"/>
    <w:rsid w:val="000C7777"/>
    <w:rsid w:val="000C7DA2"/>
    <w:rsid w:val="000C7F32"/>
    <w:rsid w:val="000D072C"/>
    <w:rsid w:val="000D0F8E"/>
    <w:rsid w:val="000D1095"/>
    <w:rsid w:val="000D150A"/>
    <w:rsid w:val="000D1758"/>
    <w:rsid w:val="000D289A"/>
    <w:rsid w:val="000D31D9"/>
    <w:rsid w:val="000D3FD0"/>
    <w:rsid w:val="000D478F"/>
    <w:rsid w:val="000D4B82"/>
    <w:rsid w:val="000D4F23"/>
    <w:rsid w:val="000D5745"/>
    <w:rsid w:val="000D5768"/>
    <w:rsid w:val="000D5F47"/>
    <w:rsid w:val="000D682D"/>
    <w:rsid w:val="000D6D4C"/>
    <w:rsid w:val="000D777A"/>
    <w:rsid w:val="000D7B9A"/>
    <w:rsid w:val="000E07E0"/>
    <w:rsid w:val="000E0867"/>
    <w:rsid w:val="000E20E7"/>
    <w:rsid w:val="000E2676"/>
    <w:rsid w:val="000E28D6"/>
    <w:rsid w:val="000E3B22"/>
    <w:rsid w:val="000E4AD7"/>
    <w:rsid w:val="000E4D56"/>
    <w:rsid w:val="000E610C"/>
    <w:rsid w:val="000E65F1"/>
    <w:rsid w:val="000E69AD"/>
    <w:rsid w:val="000E6D7C"/>
    <w:rsid w:val="000E74DA"/>
    <w:rsid w:val="000E7527"/>
    <w:rsid w:val="000E773C"/>
    <w:rsid w:val="000E7781"/>
    <w:rsid w:val="000E7CDD"/>
    <w:rsid w:val="000F0677"/>
    <w:rsid w:val="000F0AFA"/>
    <w:rsid w:val="000F0D04"/>
    <w:rsid w:val="000F0DE8"/>
    <w:rsid w:val="000F183C"/>
    <w:rsid w:val="000F1D5E"/>
    <w:rsid w:val="000F225D"/>
    <w:rsid w:val="000F2DED"/>
    <w:rsid w:val="000F3035"/>
    <w:rsid w:val="000F35AC"/>
    <w:rsid w:val="000F4030"/>
    <w:rsid w:val="000F4131"/>
    <w:rsid w:val="000F44BE"/>
    <w:rsid w:val="000F5639"/>
    <w:rsid w:val="000F6320"/>
    <w:rsid w:val="000F6325"/>
    <w:rsid w:val="000F6A22"/>
    <w:rsid w:val="000F6BD4"/>
    <w:rsid w:val="000F7247"/>
    <w:rsid w:val="000F7524"/>
    <w:rsid w:val="000F7CA5"/>
    <w:rsid w:val="000F7CC5"/>
    <w:rsid w:val="0010027F"/>
    <w:rsid w:val="00100AAE"/>
    <w:rsid w:val="00100C8C"/>
    <w:rsid w:val="00101679"/>
    <w:rsid w:val="00102224"/>
    <w:rsid w:val="00103179"/>
    <w:rsid w:val="0010371E"/>
    <w:rsid w:val="00103D49"/>
    <w:rsid w:val="00104ABF"/>
    <w:rsid w:val="001057BE"/>
    <w:rsid w:val="00106021"/>
    <w:rsid w:val="001065AE"/>
    <w:rsid w:val="00106668"/>
    <w:rsid w:val="0010707E"/>
    <w:rsid w:val="00107A5A"/>
    <w:rsid w:val="00110309"/>
    <w:rsid w:val="00110BBC"/>
    <w:rsid w:val="001116AB"/>
    <w:rsid w:val="0011181F"/>
    <w:rsid w:val="00111845"/>
    <w:rsid w:val="00112985"/>
    <w:rsid w:val="00113439"/>
    <w:rsid w:val="001139C7"/>
    <w:rsid w:val="00115D6A"/>
    <w:rsid w:val="00115EBC"/>
    <w:rsid w:val="0011669B"/>
    <w:rsid w:val="00116F41"/>
    <w:rsid w:val="00117112"/>
    <w:rsid w:val="00117832"/>
    <w:rsid w:val="00117A62"/>
    <w:rsid w:val="00117F80"/>
    <w:rsid w:val="001204AE"/>
    <w:rsid w:val="001205B8"/>
    <w:rsid w:val="001209B7"/>
    <w:rsid w:val="00120CEA"/>
    <w:rsid w:val="0012134C"/>
    <w:rsid w:val="00121BFC"/>
    <w:rsid w:val="00121C9D"/>
    <w:rsid w:val="00121DB7"/>
    <w:rsid w:val="00122115"/>
    <w:rsid w:val="0012212C"/>
    <w:rsid w:val="00122827"/>
    <w:rsid w:val="00122951"/>
    <w:rsid w:val="00122FCD"/>
    <w:rsid w:val="001232D0"/>
    <w:rsid w:val="0012362F"/>
    <w:rsid w:val="00123B21"/>
    <w:rsid w:val="0012406F"/>
    <w:rsid w:val="00124A6C"/>
    <w:rsid w:val="00124EA0"/>
    <w:rsid w:val="00125566"/>
    <w:rsid w:val="00125FC4"/>
    <w:rsid w:val="0012602C"/>
    <w:rsid w:val="0012614D"/>
    <w:rsid w:val="0012668F"/>
    <w:rsid w:val="00126919"/>
    <w:rsid w:val="00127E3F"/>
    <w:rsid w:val="00127EC0"/>
    <w:rsid w:val="00127F85"/>
    <w:rsid w:val="00127FF1"/>
    <w:rsid w:val="00130095"/>
    <w:rsid w:val="00130127"/>
    <w:rsid w:val="001307DA"/>
    <w:rsid w:val="00131814"/>
    <w:rsid w:val="00131982"/>
    <w:rsid w:val="00131B7F"/>
    <w:rsid w:val="001322AF"/>
    <w:rsid w:val="00132D98"/>
    <w:rsid w:val="00133C71"/>
    <w:rsid w:val="00134118"/>
    <w:rsid w:val="0013413B"/>
    <w:rsid w:val="0013445F"/>
    <w:rsid w:val="0013537E"/>
    <w:rsid w:val="0013576D"/>
    <w:rsid w:val="00135791"/>
    <w:rsid w:val="00136D64"/>
    <w:rsid w:val="001373B4"/>
    <w:rsid w:val="0013753C"/>
    <w:rsid w:val="001401F2"/>
    <w:rsid w:val="0014039E"/>
    <w:rsid w:val="001410AD"/>
    <w:rsid w:val="001411BC"/>
    <w:rsid w:val="001412DE"/>
    <w:rsid w:val="00141B34"/>
    <w:rsid w:val="00142377"/>
    <w:rsid w:val="0014258C"/>
    <w:rsid w:val="001425FF"/>
    <w:rsid w:val="0014284F"/>
    <w:rsid w:val="00142DA3"/>
    <w:rsid w:val="00143210"/>
    <w:rsid w:val="0014380D"/>
    <w:rsid w:val="00143D92"/>
    <w:rsid w:val="00144384"/>
    <w:rsid w:val="00144953"/>
    <w:rsid w:val="001449D9"/>
    <w:rsid w:val="001454E1"/>
    <w:rsid w:val="00145D52"/>
    <w:rsid w:val="00146166"/>
    <w:rsid w:val="00146237"/>
    <w:rsid w:val="001462DF"/>
    <w:rsid w:val="0014654F"/>
    <w:rsid w:val="001467BF"/>
    <w:rsid w:val="0014762F"/>
    <w:rsid w:val="00147895"/>
    <w:rsid w:val="00147C7C"/>
    <w:rsid w:val="00147EE4"/>
    <w:rsid w:val="0015001C"/>
    <w:rsid w:val="001507FB"/>
    <w:rsid w:val="001509FA"/>
    <w:rsid w:val="00150E01"/>
    <w:rsid w:val="001510C9"/>
    <w:rsid w:val="00152417"/>
    <w:rsid w:val="00153499"/>
    <w:rsid w:val="00153D5A"/>
    <w:rsid w:val="00155291"/>
    <w:rsid w:val="00155359"/>
    <w:rsid w:val="001556F0"/>
    <w:rsid w:val="0015581B"/>
    <w:rsid w:val="00156220"/>
    <w:rsid w:val="00156A14"/>
    <w:rsid w:val="00156E12"/>
    <w:rsid w:val="001574A6"/>
    <w:rsid w:val="00157A5E"/>
    <w:rsid w:val="001606AB"/>
    <w:rsid w:val="00160A06"/>
    <w:rsid w:val="00160CD7"/>
    <w:rsid w:val="00161574"/>
    <w:rsid w:val="0016168B"/>
    <w:rsid w:val="001617A9"/>
    <w:rsid w:val="0016217E"/>
    <w:rsid w:val="0016245C"/>
    <w:rsid w:val="0016246D"/>
    <w:rsid w:val="00162E69"/>
    <w:rsid w:val="0016353E"/>
    <w:rsid w:val="001636BA"/>
    <w:rsid w:val="001639BC"/>
    <w:rsid w:val="00164880"/>
    <w:rsid w:val="0016511E"/>
    <w:rsid w:val="00165E97"/>
    <w:rsid w:val="00165FC5"/>
    <w:rsid w:val="0016622F"/>
    <w:rsid w:val="0016641C"/>
    <w:rsid w:val="00166420"/>
    <w:rsid w:val="00166EBE"/>
    <w:rsid w:val="0016706D"/>
    <w:rsid w:val="001671F8"/>
    <w:rsid w:val="0016779C"/>
    <w:rsid w:val="0017045D"/>
    <w:rsid w:val="001708ED"/>
    <w:rsid w:val="00171407"/>
    <w:rsid w:val="00171A78"/>
    <w:rsid w:val="0017337D"/>
    <w:rsid w:val="001734E2"/>
    <w:rsid w:val="00173913"/>
    <w:rsid w:val="00174256"/>
    <w:rsid w:val="0017437A"/>
    <w:rsid w:val="00174FAA"/>
    <w:rsid w:val="00175C3A"/>
    <w:rsid w:val="00175F2A"/>
    <w:rsid w:val="00176180"/>
    <w:rsid w:val="00176425"/>
    <w:rsid w:val="00176864"/>
    <w:rsid w:val="001779E2"/>
    <w:rsid w:val="00180510"/>
    <w:rsid w:val="00180612"/>
    <w:rsid w:val="00180E2D"/>
    <w:rsid w:val="0018123A"/>
    <w:rsid w:val="00181407"/>
    <w:rsid w:val="00181C73"/>
    <w:rsid w:val="001824A1"/>
    <w:rsid w:val="00182C27"/>
    <w:rsid w:val="00182EB3"/>
    <w:rsid w:val="00182EF9"/>
    <w:rsid w:val="00183005"/>
    <w:rsid w:val="0018329D"/>
    <w:rsid w:val="00183453"/>
    <w:rsid w:val="00183CE1"/>
    <w:rsid w:val="00183DA6"/>
    <w:rsid w:val="00184445"/>
    <w:rsid w:val="001847B2"/>
    <w:rsid w:val="00184E92"/>
    <w:rsid w:val="0018541B"/>
    <w:rsid w:val="00185F2C"/>
    <w:rsid w:val="00185F66"/>
    <w:rsid w:val="0018734F"/>
    <w:rsid w:val="001875BF"/>
    <w:rsid w:val="00190433"/>
    <w:rsid w:val="00191211"/>
    <w:rsid w:val="0019166E"/>
    <w:rsid w:val="00191F41"/>
    <w:rsid w:val="001921C2"/>
    <w:rsid w:val="001925B7"/>
    <w:rsid w:val="00192815"/>
    <w:rsid w:val="00192B30"/>
    <w:rsid w:val="00192C95"/>
    <w:rsid w:val="00193F35"/>
    <w:rsid w:val="00194752"/>
    <w:rsid w:val="001956B1"/>
    <w:rsid w:val="00195769"/>
    <w:rsid w:val="001958E9"/>
    <w:rsid w:val="00195B2B"/>
    <w:rsid w:val="001961B4"/>
    <w:rsid w:val="00196242"/>
    <w:rsid w:val="00196250"/>
    <w:rsid w:val="00196258"/>
    <w:rsid w:val="0019625F"/>
    <w:rsid w:val="001966F9"/>
    <w:rsid w:val="001A04C4"/>
    <w:rsid w:val="001A04C7"/>
    <w:rsid w:val="001A092A"/>
    <w:rsid w:val="001A0D13"/>
    <w:rsid w:val="001A120C"/>
    <w:rsid w:val="001A1289"/>
    <w:rsid w:val="001A1B10"/>
    <w:rsid w:val="001A1CC3"/>
    <w:rsid w:val="001A1E2F"/>
    <w:rsid w:val="001A23E5"/>
    <w:rsid w:val="001A25C8"/>
    <w:rsid w:val="001A2D95"/>
    <w:rsid w:val="001A3152"/>
    <w:rsid w:val="001A3412"/>
    <w:rsid w:val="001A3739"/>
    <w:rsid w:val="001A417E"/>
    <w:rsid w:val="001A4322"/>
    <w:rsid w:val="001A476C"/>
    <w:rsid w:val="001A4BF0"/>
    <w:rsid w:val="001A589C"/>
    <w:rsid w:val="001A5E19"/>
    <w:rsid w:val="001A6042"/>
    <w:rsid w:val="001A6091"/>
    <w:rsid w:val="001A61E6"/>
    <w:rsid w:val="001A6793"/>
    <w:rsid w:val="001A7137"/>
    <w:rsid w:val="001A7E4C"/>
    <w:rsid w:val="001B00B4"/>
    <w:rsid w:val="001B0457"/>
    <w:rsid w:val="001B053E"/>
    <w:rsid w:val="001B1B83"/>
    <w:rsid w:val="001B2516"/>
    <w:rsid w:val="001B27A6"/>
    <w:rsid w:val="001B2B56"/>
    <w:rsid w:val="001B2BDC"/>
    <w:rsid w:val="001B2E96"/>
    <w:rsid w:val="001B32BD"/>
    <w:rsid w:val="001B3348"/>
    <w:rsid w:val="001B3554"/>
    <w:rsid w:val="001B36FC"/>
    <w:rsid w:val="001B46E5"/>
    <w:rsid w:val="001B4FC9"/>
    <w:rsid w:val="001B53D0"/>
    <w:rsid w:val="001B5D1B"/>
    <w:rsid w:val="001B5D22"/>
    <w:rsid w:val="001B60CE"/>
    <w:rsid w:val="001B6B85"/>
    <w:rsid w:val="001B7135"/>
    <w:rsid w:val="001B74BC"/>
    <w:rsid w:val="001B768B"/>
    <w:rsid w:val="001B7D9E"/>
    <w:rsid w:val="001C0C96"/>
    <w:rsid w:val="001C0DBB"/>
    <w:rsid w:val="001C1533"/>
    <w:rsid w:val="001C1593"/>
    <w:rsid w:val="001C1CC9"/>
    <w:rsid w:val="001C1F50"/>
    <w:rsid w:val="001C23C4"/>
    <w:rsid w:val="001C2733"/>
    <w:rsid w:val="001C2BC0"/>
    <w:rsid w:val="001C2F0B"/>
    <w:rsid w:val="001C3A0F"/>
    <w:rsid w:val="001C3F32"/>
    <w:rsid w:val="001C482D"/>
    <w:rsid w:val="001C49A0"/>
    <w:rsid w:val="001C49C0"/>
    <w:rsid w:val="001C4AB0"/>
    <w:rsid w:val="001C4AF3"/>
    <w:rsid w:val="001C5510"/>
    <w:rsid w:val="001C5604"/>
    <w:rsid w:val="001C587F"/>
    <w:rsid w:val="001C591E"/>
    <w:rsid w:val="001C5A69"/>
    <w:rsid w:val="001C6CA6"/>
    <w:rsid w:val="001C7248"/>
    <w:rsid w:val="001C766E"/>
    <w:rsid w:val="001D0834"/>
    <w:rsid w:val="001D0D0C"/>
    <w:rsid w:val="001D0F13"/>
    <w:rsid w:val="001D1D6D"/>
    <w:rsid w:val="001D2468"/>
    <w:rsid w:val="001D2A62"/>
    <w:rsid w:val="001D3B72"/>
    <w:rsid w:val="001D4247"/>
    <w:rsid w:val="001D48A3"/>
    <w:rsid w:val="001D54E5"/>
    <w:rsid w:val="001D554F"/>
    <w:rsid w:val="001D6572"/>
    <w:rsid w:val="001D6A64"/>
    <w:rsid w:val="001D6CA6"/>
    <w:rsid w:val="001E065B"/>
    <w:rsid w:val="001E0DB2"/>
    <w:rsid w:val="001E252A"/>
    <w:rsid w:val="001E25FB"/>
    <w:rsid w:val="001E267F"/>
    <w:rsid w:val="001E30ED"/>
    <w:rsid w:val="001E36F3"/>
    <w:rsid w:val="001E4049"/>
    <w:rsid w:val="001E4511"/>
    <w:rsid w:val="001E4BB6"/>
    <w:rsid w:val="001E4C12"/>
    <w:rsid w:val="001E4E8A"/>
    <w:rsid w:val="001E4F43"/>
    <w:rsid w:val="001E50C0"/>
    <w:rsid w:val="001E5340"/>
    <w:rsid w:val="001E6116"/>
    <w:rsid w:val="001E6346"/>
    <w:rsid w:val="001E6EEB"/>
    <w:rsid w:val="001E74DF"/>
    <w:rsid w:val="001E7EC2"/>
    <w:rsid w:val="001F0878"/>
    <w:rsid w:val="001F0B11"/>
    <w:rsid w:val="001F10FF"/>
    <w:rsid w:val="001F2815"/>
    <w:rsid w:val="001F29D2"/>
    <w:rsid w:val="001F29E6"/>
    <w:rsid w:val="001F2F32"/>
    <w:rsid w:val="001F31ED"/>
    <w:rsid w:val="001F3704"/>
    <w:rsid w:val="001F4E04"/>
    <w:rsid w:val="001F51FE"/>
    <w:rsid w:val="001F5668"/>
    <w:rsid w:val="001F66FD"/>
    <w:rsid w:val="001F689F"/>
    <w:rsid w:val="001F6DF2"/>
    <w:rsid w:val="001F7162"/>
    <w:rsid w:val="001F76D0"/>
    <w:rsid w:val="002001A8"/>
    <w:rsid w:val="002005E9"/>
    <w:rsid w:val="00200B31"/>
    <w:rsid w:val="00200E92"/>
    <w:rsid w:val="00200EB9"/>
    <w:rsid w:val="002014A0"/>
    <w:rsid w:val="00201FF2"/>
    <w:rsid w:val="002026F2"/>
    <w:rsid w:val="002029E9"/>
    <w:rsid w:val="00202A0D"/>
    <w:rsid w:val="00202BD9"/>
    <w:rsid w:val="00203812"/>
    <w:rsid w:val="00203912"/>
    <w:rsid w:val="00203D0B"/>
    <w:rsid w:val="00203E97"/>
    <w:rsid w:val="002043CE"/>
    <w:rsid w:val="00204DFE"/>
    <w:rsid w:val="00206F1B"/>
    <w:rsid w:val="0020741C"/>
    <w:rsid w:val="00207E5B"/>
    <w:rsid w:val="00210E30"/>
    <w:rsid w:val="002110CA"/>
    <w:rsid w:val="00211991"/>
    <w:rsid w:val="00211E74"/>
    <w:rsid w:val="00212041"/>
    <w:rsid w:val="00212101"/>
    <w:rsid w:val="002125CB"/>
    <w:rsid w:val="00212606"/>
    <w:rsid w:val="002129D9"/>
    <w:rsid w:val="00213271"/>
    <w:rsid w:val="002135C9"/>
    <w:rsid w:val="002139F3"/>
    <w:rsid w:val="00213AD7"/>
    <w:rsid w:val="0021437F"/>
    <w:rsid w:val="00214633"/>
    <w:rsid w:val="0021490C"/>
    <w:rsid w:val="00214BC8"/>
    <w:rsid w:val="00214C52"/>
    <w:rsid w:val="00214F0C"/>
    <w:rsid w:val="00215579"/>
    <w:rsid w:val="002159EA"/>
    <w:rsid w:val="00216020"/>
    <w:rsid w:val="00217121"/>
    <w:rsid w:val="0021782A"/>
    <w:rsid w:val="00217F66"/>
    <w:rsid w:val="002203C1"/>
    <w:rsid w:val="0022053F"/>
    <w:rsid w:val="002206BA"/>
    <w:rsid w:val="00221237"/>
    <w:rsid w:val="00221CDE"/>
    <w:rsid w:val="00222A64"/>
    <w:rsid w:val="00222A76"/>
    <w:rsid w:val="0022336E"/>
    <w:rsid w:val="00223DE7"/>
    <w:rsid w:val="002245A1"/>
    <w:rsid w:val="00224D53"/>
    <w:rsid w:val="00224DC4"/>
    <w:rsid w:val="002258F2"/>
    <w:rsid w:val="00225CAB"/>
    <w:rsid w:val="00226E23"/>
    <w:rsid w:val="00226E35"/>
    <w:rsid w:val="002279A2"/>
    <w:rsid w:val="0023036C"/>
    <w:rsid w:val="002306C4"/>
    <w:rsid w:val="002322F7"/>
    <w:rsid w:val="0023273E"/>
    <w:rsid w:val="002329EB"/>
    <w:rsid w:val="00232EE9"/>
    <w:rsid w:val="0023362E"/>
    <w:rsid w:val="002336F3"/>
    <w:rsid w:val="0023472B"/>
    <w:rsid w:val="00234761"/>
    <w:rsid w:val="00234872"/>
    <w:rsid w:val="002349B6"/>
    <w:rsid w:val="0023599F"/>
    <w:rsid w:val="00237362"/>
    <w:rsid w:val="00237437"/>
    <w:rsid w:val="0023756D"/>
    <w:rsid w:val="00237A6A"/>
    <w:rsid w:val="00237D36"/>
    <w:rsid w:val="00237F3A"/>
    <w:rsid w:val="002406CF"/>
    <w:rsid w:val="00240733"/>
    <w:rsid w:val="00240996"/>
    <w:rsid w:val="0024144F"/>
    <w:rsid w:val="00241C04"/>
    <w:rsid w:val="00241C27"/>
    <w:rsid w:val="002420CD"/>
    <w:rsid w:val="002421A8"/>
    <w:rsid w:val="002425B4"/>
    <w:rsid w:val="00242E3A"/>
    <w:rsid w:val="00242F70"/>
    <w:rsid w:val="00243689"/>
    <w:rsid w:val="00243954"/>
    <w:rsid w:val="00243B64"/>
    <w:rsid w:val="0024412A"/>
    <w:rsid w:val="002445BA"/>
    <w:rsid w:val="00244684"/>
    <w:rsid w:val="00244AB5"/>
    <w:rsid w:val="00244BEE"/>
    <w:rsid w:val="00245ECE"/>
    <w:rsid w:val="0024678B"/>
    <w:rsid w:val="0024698A"/>
    <w:rsid w:val="00246AB7"/>
    <w:rsid w:val="0024737D"/>
    <w:rsid w:val="00251AAA"/>
    <w:rsid w:val="00252150"/>
    <w:rsid w:val="002548B6"/>
    <w:rsid w:val="00255344"/>
    <w:rsid w:val="00255DFE"/>
    <w:rsid w:val="00255FB4"/>
    <w:rsid w:val="0025686E"/>
    <w:rsid w:val="00257294"/>
    <w:rsid w:val="002577CA"/>
    <w:rsid w:val="00257ABB"/>
    <w:rsid w:val="002611C0"/>
    <w:rsid w:val="002614AF"/>
    <w:rsid w:val="002616CA"/>
    <w:rsid w:val="00261D8D"/>
    <w:rsid w:val="00261FEB"/>
    <w:rsid w:val="00262926"/>
    <w:rsid w:val="0026296A"/>
    <w:rsid w:val="00262E21"/>
    <w:rsid w:val="00262EA3"/>
    <w:rsid w:val="00263DF9"/>
    <w:rsid w:val="002655BB"/>
    <w:rsid w:val="002661A3"/>
    <w:rsid w:val="00266715"/>
    <w:rsid w:val="00266A3F"/>
    <w:rsid w:val="00266B69"/>
    <w:rsid w:val="002675CF"/>
    <w:rsid w:val="00267756"/>
    <w:rsid w:val="0027008D"/>
    <w:rsid w:val="00270611"/>
    <w:rsid w:val="002716C5"/>
    <w:rsid w:val="002727BF"/>
    <w:rsid w:val="00272EA3"/>
    <w:rsid w:val="002737A6"/>
    <w:rsid w:val="00273C76"/>
    <w:rsid w:val="00273EFD"/>
    <w:rsid w:val="00273FBA"/>
    <w:rsid w:val="00274150"/>
    <w:rsid w:val="00274297"/>
    <w:rsid w:val="0027458B"/>
    <w:rsid w:val="00275474"/>
    <w:rsid w:val="00275956"/>
    <w:rsid w:val="00275C93"/>
    <w:rsid w:val="0027600F"/>
    <w:rsid w:val="00276174"/>
    <w:rsid w:val="002763F7"/>
    <w:rsid w:val="002767DF"/>
    <w:rsid w:val="00277511"/>
    <w:rsid w:val="0027751D"/>
    <w:rsid w:val="0027772F"/>
    <w:rsid w:val="0027779D"/>
    <w:rsid w:val="00277D09"/>
    <w:rsid w:val="002817A4"/>
    <w:rsid w:val="00282F17"/>
    <w:rsid w:val="002831B3"/>
    <w:rsid w:val="002833E4"/>
    <w:rsid w:val="00283D7B"/>
    <w:rsid w:val="00284D0D"/>
    <w:rsid w:val="00284E53"/>
    <w:rsid w:val="0028607E"/>
    <w:rsid w:val="00286B1A"/>
    <w:rsid w:val="00286E27"/>
    <w:rsid w:val="00287306"/>
    <w:rsid w:val="00290387"/>
    <w:rsid w:val="0029038A"/>
    <w:rsid w:val="002903E1"/>
    <w:rsid w:val="00290520"/>
    <w:rsid w:val="002908E9"/>
    <w:rsid w:val="002914F1"/>
    <w:rsid w:val="00291547"/>
    <w:rsid w:val="002923E6"/>
    <w:rsid w:val="002924EC"/>
    <w:rsid w:val="00292DC1"/>
    <w:rsid w:val="00293897"/>
    <w:rsid w:val="00293C55"/>
    <w:rsid w:val="00293C76"/>
    <w:rsid w:val="002948CB"/>
    <w:rsid w:val="00294EB1"/>
    <w:rsid w:val="00295769"/>
    <w:rsid w:val="00295F92"/>
    <w:rsid w:val="00296CA8"/>
    <w:rsid w:val="0029715A"/>
    <w:rsid w:val="002A026B"/>
    <w:rsid w:val="002A0AF3"/>
    <w:rsid w:val="002A106B"/>
    <w:rsid w:val="002A111F"/>
    <w:rsid w:val="002A1870"/>
    <w:rsid w:val="002A248F"/>
    <w:rsid w:val="002A397C"/>
    <w:rsid w:val="002A3B6A"/>
    <w:rsid w:val="002A3C2E"/>
    <w:rsid w:val="002A4527"/>
    <w:rsid w:val="002A454E"/>
    <w:rsid w:val="002A5316"/>
    <w:rsid w:val="002A5348"/>
    <w:rsid w:val="002A53A9"/>
    <w:rsid w:val="002A54C7"/>
    <w:rsid w:val="002A61CF"/>
    <w:rsid w:val="002A6271"/>
    <w:rsid w:val="002A6992"/>
    <w:rsid w:val="002B0332"/>
    <w:rsid w:val="002B03A1"/>
    <w:rsid w:val="002B057F"/>
    <w:rsid w:val="002B066C"/>
    <w:rsid w:val="002B09F3"/>
    <w:rsid w:val="002B0A21"/>
    <w:rsid w:val="002B0CB4"/>
    <w:rsid w:val="002B13EC"/>
    <w:rsid w:val="002B170B"/>
    <w:rsid w:val="002B1B23"/>
    <w:rsid w:val="002B1E2B"/>
    <w:rsid w:val="002B26CE"/>
    <w:rsid w:val="002B284F"/>
    <w:rsid w:val="002B2C92"/>
    <w:rsid w:val="002B3BC9"/>
    <w:rsid w:val="002B41B9"/>
    <w:rsid w:val="002B493C"/>
    <w:rsid w:val="002B4A4E"/>
    <w:rsid w:val="002B4A7D"/>
    <w:rsid w:val="002B5454"/>
    <w:rsid w:val="002B5627"/>
    <w:rsid w:val="002B5719"/>
    <w:rsid w:val="002B6FB2"/>
    <w:rsid w:val="002B787C"/>
    <w:rsid w:val="002B7B0E"/>
    <w:rsid w:val="002C0504"/>
    <w:rsid w:val="002C066A"/>
    <w:rsid w:val="002C1403"/>
    <w:rsid w:val="002C1D88"/>
    <w:rsid w:val="002C1E32"/>
    <w:rsid w:val="002C1F94"/>
    <w:rsid w:val="002C338D"/>
    <w:rsid w:val="002C373E"/>
    <w:rsid w:val="002C3882"/>
    <w:rsid w:val="002C3FEF"/>
    <w:rsid w:val="002C4DB2"/>
    <w:rsid w:val="002C56ED"/>
    <w:rsid w:val="002C57DC"/>
    <w:rsid w:val="002C6097"/>
    <w:rsid w:val="002C6272"/>
    <w:rsid w:val="002C6D10"/>
    <w:rsid w:val="002C7038"/>
    <w:rsid w:val="002C7422"/>
    <w:rsid w:val="002C781A"/>
    <w:rsid w:val="002D03AA"/>
    <w:rsid w:val="002D0CA3"/>
    <w:rsid w:val="002D17ED"/>
    <w:rsid w:val="002D1F33"/>
    <w:rsid w:val="002D22F7"/>
    <w:rsid w:val="002D2B9F"/>
    <w:rsid w:val="002D3944"/>
    <w:rsid w:val="002D436A"/>
    <w:rsid w:val="002D4A13"/>
    <w:rsid w:val="002D5404"/>
    <w:rsid w:val="002D6303"/>
    <w:rsid w:val="002D66A5"/>
    <w:rsid w:val="002D6D16"/>
    <w:rsid w:val="002D71E2"/>
    <w:rsid w:val="002D737A"/>
    <w:rsid w:val="002D75B8"/>
    <w:rsid w:val="002D7D3D"/>
    <w:rsid w:val="002E00EA"/>
    <w:rsid w:val="002E05F6"/>
    <w:rsid w:val="002E06AA"/>
    <w:rsid w:val="002E0B9B"/>
    <w:rsid w:val="002E0EC2"/>
    <w:rsid w:val="002E1C1B"/>
    <w:rsid w:val="002E1F47"/>
    <w:rsid w:val="002E2188"/>
    <w:rsid w:val="002E2E62"/>
    <w:rsid w:val="002E31EC"/>
    <w:rsid w:val="002E349B"/>
    <w:rsid w:val="002E373C"/>
    <w:rsid w:val="002E3FB0"/>
    <w:rsid w:val="002E5113"/>
    <w:rsid w:val="002E529A"/>
    <w:rsid w:val="002E56D3"/>
    <w:rsid w:val="002E5811"/>
    <w:rsid w:val="002E5A87"/>
    <w:rsid w:val="002E6A64"/>
    <w:rsid w:val="002E7A77"/>
    <w:rsid w:val="002E7DC4"/>
    <w:rsid w:val="002F0270"/>
    <w:rsid w:val="002F0D8B"/>
    <w:rsid w:val="002F1BB1"/>
    <w:rsid w:val="002F2439"/>
    <w:rsid w:val="002F311B"/>
    <w:rsid w:val="002F312E"/>
    <w:rsid w:val="002F371B"/>
    <w:rsid w:val="002F41E9"/>
    <w:rsid w:val="002F6311"/>
    <w:rsid w:val="002F6732"/>
    <w:rsid w:val="002F712F"/>
    <w:rsid w:val="002F7166"/>
    <w:rsid w:val="002F7CB5"/>
    <w:rsid w:val="003011D1"/>
    <w:rsid w:val="0030156D"/>
    <w:rsid w:val="0030164D"/>
    <w:rsid w:val="00302060"/>
    <w:rsid w:val="0030210A"/>
    <w:rsid w:val="003026C6"/>
    <w:rsid w:val="0030298E"/>
    <w:rsid w:val="0030304A"/>
    <w:rsid w:val="003031EC"/>
    <w:rsid w:val="003032E5"/>
    <w:rsid w:val="0030355B"/>
    <w:rsid w:val="0030385D"/>
    <w:rsid w:val="00303874"/>
    <w:rsid w:val="00303FEF"/>
    <w:rsid w:val="003043C4"/>
    <w:rsid w:val="003048FB"/>
    <w:rsid w:val="00304BDF"/>
    <w:rsid w:val="00305ABE"/>
    <w:rsid w:val="00305CAC"/>
    <w:rsid w:val="00305D10"/>
    <w:rsid w:val="003060B1"/>
    <w:rsid w:val="0030736F"/>
    <w:rsid w:val="00307371"/>
    <w:rsid w:val="00310BDF"/>
    <w:rsid w:val="003113F5"/>
    <w:rsid w:val="00311413"/>
    <w:rsid w:val="00311858"/>
    <w:rsid w:val="00311ED7"/>
    <w:rsid w:val="0031229F"/>
    <w:rsid w:val="0031244C"/>
    <w:rsid w:val="00312584"/>
    <w:rsid w:val="00312726"/>
    <w:rsid w:val="003134DF"/>
    <w:rsid w:val="003145B6"/>
    <w:rsid w:val="00314A23"/>
    <w:rsid w:val="00314A70"/>
    <w:rsid w:val="0031605B"/>
    <w:rsid w:val="00316D04"/>
    <w:rsid w:val="00317246"/>
    <w:rsid w:val="00317526"/>
    <w:rsid w:val="00317BA5"/>
    <w:rsid w:val="0032019D"/>
    <w:rsid w:val="00320DA6"/>
    <w:rsid w:val="00320EDF"/>
    <w:rsid w:val="003228B6"/>
    <w:rsid w:val="00322E2D"/>
    <w:rsid w:val="00322EED"/>
    <w:rsid w:val="00322F8C"/>
    <w:rsid w:val="003232EC"/>
    <w:rsid w:val="00324919"/>
    <w:rsid w:val="00324EC4"/>
    <w:rsid w:val="003250DE"/>
    <w:rsid w:val="00325116"/>
    <w:rsid w:val="00325AAA"/>
    <w:rsid w:val="00326CEE"/>
    <w:rsid w:val="0032786C"/>
    <w:rsid w:val="00327BC8"/>
    <w:rsid w:val="00330387"/>
    <w:rsid w:val="0033086A"/>
    <w:rsid w:val="00330ACC"/>
    <w:rsid w:val="00330ED2"/>
    <w:rsid w:val="00330F0B"/>
    <w:rsid w:val="00331594"/>
    <w:rsid w:val="00331BA4"/>
    <w:rsid w:val="0033215A"/>
    <w:rsid w:val="00332716"/>
    <w:rsid w:val="00332828"/>
    <w:rsid w:val="0033324A"/>
    <w:rsid w:val="00333384"/>
    <w:rsid w:val="00334440"/>
    <w:rsid w:val="003349E2"/>
    <w:rsid w:val="00334A3E"/>
    <w:rsid w:val="00334A4C"/>
    <w:rsid w:val="00335516"/>
    <w:rsid w:val="003358DE"/>
    <w:rsid w:val="003359D8"/>
    <w:rsid w:val="00336870"/>
    <w:rsid w:val="00336B87"/>
    <w:rsid w:val="00336B9E"/>
    <w:rsid w:val="00337D92"/>
    <w:rsid w:val="0034002C"/>
    <w:rsid w:val="00340608"/>
    <w:rsid w:val="00340CA4"/>
    <w:rsid w:val="003410DD"/>
    <w:rsid w:val="003414FC"/>
    <w:rsid w:val="00341EF9"/>
    <w:rsid w:val="00342629"/>
    <w:rsid w:val="00342902"/>
    <w:rsid w:val="00342D5C"/>
    <w:rsid w:val="00343212"/>
    <w:rsid w:val="00343C18"/>
    <w:rsid w:val="00343F31"/>
    <w:rsid w:val="003445A4"/>
    <w:rsid w:val="003449A0"/>
    <w:rsid w:val="00345069"/>
    <w:rsid w:val="00345074"/>
    <w:rsid w:val="00345238"/>
    <w:rsid w:val="00345CDF"/>
    <w:rsid w:val="00345D2E"/>
    <w:rsid w:val="0034612B"/>
    <w:rsid w:val="00346359"/>
    <w:rsid w:val="00346854"/>
    <w:rsid w:val="00346D93"/>
    <w:rsid w:val="00347B4C"/>
    <w:rsid w:val="00347E2D"/>
    <w:rsid w:val="00350521"/>
    <w:rsid w:val="00350541"/>
    <w:rsid w:val="003508B6"/>
    <w:rsid w:val="00350E1D"/>
    <w:rsid w:val="003512DE"/>
    <w:rsid w:val="00352040"/>
    <w:rsid w:val="003520F3"/>
    <w:rsid w:val="00352419"/>
    <w:rsid w:val="003529A6"/>
    <w:rsid w:val="003531FD"/>
    <w:rsid w:val="003532A0"/>
    <w:rsid w:val="00353651"/>
    <w:rsid w:val="0035399E"/>
    <w:rsid w:val="00353B70"/>
    <w:rsid w:val="003546B5"/>
    <w:rsid w:val="00354820"/>
    <w:rsid w:val="0035540D"/>
    <w:rsid w:val="003554EA"/>
    <w:rsid w:val="0035550A"/>
    <w:rsid w:val="00356DE1"/>
    <w:rsid w:val="00360A45"/>
    <w:rsid w:val="00361741"/>
    <w:rsid w:val="00361F16"/>
    <w:rsid w:val="00361FEB"/>
    <w:rsid w:val="0036249F"/>
    <w:rsid w:val="00362769"/>
    <w:rsid w:val="00362A60"/>
    <w:rsid w:val="00362F7C"/>
    <w:rsid w:val="0036329A"/>
    <w:rsid w:val="00363569"/>
    <w:rsid w:val="00363C25"/>
    <w:rsid w:val="0036423C"/>
    <w:rsid w:val="00364376"/>
    <w:rsid w:val="0036495C"/>
    <w:rsid w:val="00364977"/>
    <w:rsid w:val="00365019"/>
    <w:rsid w:val="00366221"/>
    <w:rsid w:val="00366609"/>
    <w:rsid w:val="00366BDE"/>
    <w:rsid w:val="00366E8D"/>
    <w:rsid w:val="00371056"/>
    <w:rsid w:val="003717FC"/>
    <w:rsid w:val="00371920"/>
    <w:rsid w:val="00372DD6"/>
    <w:rsid w:val="00373C25"/>
    <w:rsid w:val="00373CFC"/>
    <w:rsid w:val="003745FC"/>
    <w:rsid w:val="00374F14"/>
    <w:rsid w:val="0037565C"/>
    <w:rsid w:val="003759BF"/>
    <w:rsid w:val="00376201"/>
    <w:rsid w:val="0037660A"/>
    <w:rsid w:val="00376921"/>
    <w:rsid w:val="00376960"/>
    <w:rsid w:val="003769D1"/>
    <w:rsid w:val="00376F14"/>
    <w:rsid w:val="00380256"/>
    <w:rsid w:val="003816F8"/>
    <w:rsid w:val="00381C21"/>
    <w:rsid w:val="0038223B"/>
    <w:rsid w:val="003825C5"/>
    <w:rsid w:val="00383B46"/>
    <w:rsid w:val="00383BDB"/>
    <w:rsid w:val="0038401B"/>
    <w:rsid w:val="00384AA9"/>
    <w:rsid w:val="00386025"/>
    <w:rsid w:val="00386944"/>
    <w:rsid w:val="00386A18"/>
    <w:rsid w:val="00387204"/>
    <w:rsid w:val="00390077"/>
    <w:rsid w:val="003901EB"/>
    <w:rsid w:val="00390458"/>
    <w:rsid w:val="003907BA"/>
    <w:rsid w:val="00390A48"/>
    <w:rsid w:val="00391002"/>
    <w:rsid w:val="0039112C"/>
    <w:rsid w:val="00391692"/>
    <w:rsid w:val="003919C5"/>
    <w:rsid w:val="00391BC8"/>
    <w:rsid w:val="0039225F"/>
    <w:rsid w:val="003929FE"/>
    <w:rsid w:val="00392BE8"/>
    <w:rsid w:val="00392F39"/>
    <w:rsid w:val="00394AA4"/>
    <w:rsid w:val="00395920"/>
    <w:rsid w:val="003959C9"/>
    <w:rsid w:val="00396489"/>
    <w:rsid w:val="00397219"/>
    <w:rsid w:val="00397AF0"/>
    <w:rsid w:val="003A0B92"/>
    <w:rsid w:val="003A0C13"/>
    <w:rsid w:val="003A0F52"/>
    <w:rsid w:val="003A1209"/>
    <w:rsid w:val="003A14B7"/>
    <w:rsid w:val="003A1648"/>
    <w:rsid w:val="003A180F"/>
    <w:rsid w:val="003A1A91"/>
    <w:rsid w:val="003A22CB"/>
    <w:rsid w:val="003A3C1C"/>
    <w:rsid w:val="003A4C28"/>
    <w:rsid w:val="003A51B3"/>
    <w:rsid w:val="003A5E1C"/>
    <w:rsid w:val="003A6021"/>
    <w:rsid w:val="003A609A"/>
    <w:rsid w:val="003B027C"/>
    <w:rsid w:val="003B0E0A"/>
    <w:rsid w:val="003B1050"/>
    <w:rsid w:val="003B1461"/>
    <w:rsid w:val="003B17A4"/>
    <w:rsid w:val="003B22B2"/>
    <w:rsid w:val="003B2396"/>
    <w:rsid w:val="003B2A02"/>
    <w:rsid w:val="003B5059"/>
    <w:rsid w:val="003B5097"/>
    <w:rsid w:val="003B64A5"/>
    <w:rsid w:val="003B694E"/>
    <w:rsid w:val="003B6B1A"/>
    <w:rsid w:val="003B6BB1"/>
    <w:rsid w:val="003B7009"/>
    <w:rsid w:val="003B71FA"/>
    <w:rsid w:val="003B7ED5"/>
    <w:rsid w:val="003C0847"/>
    <w:rsid w:val="003C17B6"/>
    <w:rsid w:val="003C1BD3"/>
    <w:rsid w:val="003C1EDD"/>
    <w:rsid w:val="003C24BB"/>
    <w:rsid w:val="003C24CC"/>
    <w:rsid w:val="003C2C0B"/>
    <w:rsid w:val="003C344E"/>
    <w:rsid w:val="003C4806"/>
    <w:rsid w:val="003C4B63"/>
    <w:rsid w:val="003C5237"/>
    <w:rsid w:val="003C559B"/>
    <w:rsid w:val="003C5A34"/>
    <w:rsid w:val="003C5C26"/>
    <w:rsid w:val="003C6670"/>
    <w:rsid w:val="003C69B8"/>
    <w:rsid w:val="003C7AE4"/>
    <w:rsid w:val="003D012C"/>
    <w:rsid w:val="003D01E4"/>
    <w:rsid w:val="003D0E67"/>
    <w:rsid w:val="003D0F88"/>
    <w:rsid w:val="003D1D77"/>
    <w:rsid w:val="003D1E6C"/>
    <w:rsid w:val="003D2966"/>
    <w:rsid w:val="003D2D75"/>
    <w:rsid w:val="003D3260"/>
    <w:rsid w:val="003D37B9"/>
    <w:rsid w:val="003D3D70"/>
    <w:rsid w:val="003D40CE"/>
    <w:rsid w:val="003D508B"/>
    <w:rsid w:val="003D54DC"/>
    <w:rsid w:val="003D5CB5"/>
    <w:rsid w:val="003D67B1"/>
    <w:rsid w:val="003D70C4"/>
    <w:rsid w:val="003E0391"/>
    <w:rsid w:val="003E04D5"/>
    <w:rsid w:val="003E092A"/>
    <w:rsid w:val="003E09EC"/>
    <w:rsid w:val="003E1B58"/>
    <w:rsid w:val="003E2663"/>
    <w:rsid w:val="003E2824"/>
    <w:rsid w:val="003E2B9A"/>
    <w:rsid w:val="003E2FAE"/>
    <w:rsid w:val="003E372A"/>
    <w:rsid w:val="003E3848"/>
    <w:rsid w:val="003E39AB"/>
    <w:rsid w:val="003E3CCB"/>
    <w:rsid w:val="003E3CF5"/>
    <w:rsid w:val="003E4040"/>
    <w:rsid w:val="003E44DB"/>
    <w:rsid w:val="003E4594"/>
    <w:rsid w:val="003E47B4"/>
    <w:rsid w:val="003E4B74"/>
    <w:rsid w:val="003E5F3B"/>
    <w:rsid w:val="003E6938"/>
    <w:rsid w:val="003E6A06"/>
    <w:rsid w:val="003E6D1E"/>
    <w:rsid w:val="003E6F45"/>
    <w:rsid w:val="003E713B"/>
    <w:rsid w:val="003E790B"/>
    <w:rsid w:val="003F03D0"/>
    <w:rsid w:val="003F04D2"/>
    <w:rsid w:val="003F0BC0"/>
    <w:rsid w:val="003F1629"/>
    <w:rsid w:val="003F1922"/>
    <w:rsid w:val="003F24FE"/>
    <w:rsid w:val="003F2502"/>
    <w:rsid w:val="003F2A28"/>
    <w:rsid w:val="003F303B"/>
    <w:rsid w:val="003F3F5A"/>
    <w:rsid w:val="003F4622"/>
    <w:rsid w:val="003F4C3A"/>
    <w:rsid w:val="003F4E04"/>
    <w:rsid w:val="003F5096"/>
    <w:rsid w:val="003F6028"/>
    <w:rsid w:val="003F6686"/>
    <w:rsid w:val="003F6715"/>
    <w:rsid w:val="003F6752"/>
    <w:rsid w:val="003F6A6F"/>
    <w:rsid w:val="003F6AA0"/>
    <w:rsid w:val="003F6EFC"/>
    <w:rsid w:val="003F75C3"/>
    <w:rsid w:val="003F7CF5"/>
    <w:rsid w:val="00400038"/>
    <w:rsid w:val="004000E7"/>
    <w:rsid w:val="0040024B"/>
    <w:rsid w:val="00400E2F"/>
    <w:rsid w:val="00401CE4"/>
    <w:rsid w:val="00401DA6"/>
    <w:rsid w:val="0040227E"/>
    <w:rsid w:val="00402364"/>
    <w:rsid w:val="00402376"/>
    <w:rsid w:val="00403213"/>
    <w:rsid w:val="0040351B"/>
    <w:rsid w:val="00403AC3"/>
    <w:rsid w:val="00403E65"/>
    <w:rsid w:val="00403FC9"/>
    <w:rsid w:val="0040688F"/>
    <w:rsid w:val="00406E2F"/>
    <w:rsid w:val="00407D95"/>
    <w:rsid w:val="00407E12"/>
    <w:rsid w:val="004107C7"/>
    <w:rsid w:val="00410831"/>
    <w:rsid w:val="004115A6"/>
    <w:rsid w:val="00411F90"/>
    <w:rsid w:val="00412517"/>
    <w:rsid w:val="0041266C"/>
    <w:rsid w:val="004129C0"/>
    <w:rsid w:val="00412D3D"/>
    <w:rsid w:val="004135A6"/>
    <w:rsid w:val="004139B7"/>
    <w:rsid w:val="00413F0B"/>
    <w:rsid w:val="00413FC4"/>
    <w:rsid w:val="004147A2"/>
    <w:rsid w:val="00414A8E"/>
    <w:rsid w:val="004154E3"/>
    <w:rsid w:val="00415808"/>
    <w:rsid w:val="00415C89"/>
    <w:rsid w:val="004161EB"/>
    <w:rsid w:val="004162C3"/>
    <w:rsid w:val="004171CA"/>
    <w:rsid w:val="004175AD"/>
    <w:rsid w:val="00420B43"/>
    <w:rsid w:val="00420F6C"/>
    <w:rsid w:val="00421D6C"/>
    <w:rsid w:val="00421DC8"/>
    <w:rsid w:val="004226D1"/>
    <w:rsid w:val="00422B63"/>
    <w:rsid w:val="00424E74"/>
    <w:rsid w:val="00424F5D"/>
    <w:rsid w:val="0042501B"/>
    <w:rsid w:val="0042512A"/>
    <w:rsid w:val="004252C3"/>
    <w:rsid w:val="0042533C"/>
    <w:rsid w:val="00425EBC"/>
    <w:rsid w:val="0042636F"/>
    <w:rsid w:val="00426AD5"/>
    <w:rsid w:val="00426DEB"/>
    <w:rsid w:val="0042729C"/>
    <w:rsid w:val="0042750A"/>
    <w:rsid w:val="00427E93"/>
    <w:rsid w:val="0043032F"/>
    <w:rsid w:val="00430811"/>
    <w:rsid w:val="00430AD5"/>
    <w:rsid w:val="00430DAE"/>
    <w:rsid w:val="00431AA0"/>
    <w:rsid w:val="00431EB3"/>
    <w:rsid w:val="00432549"/>
    <w:rsid w:val="00432DA9"/>
    <w:rsid w:val="004342C2"/>
    <w:rsid w:val="004348AB"/>
    <w:rsid w:val="00434D21"/>
    <w:rsid w:val="004352C4"/>
    <w:rsid w:val="0043544C"/>
    <w:rsid w:val="004354C0"/>
    <w:rsid w:val="00436213"/>
    <w:rsid w:val="00436409"/>
    <w:rsid w:val="00437568"/>
    <w:rsid w:val="00437D9A"/>
    <w:rsid w:val="00437DF2"/>
    <w:rsid w:val="00440354"/>
    <w:rsid w:val="004407DA"/>
    <w:rsid w:val="004414C6"/>
    <w:rsid w:val="00441579"/>
    <w:rsid w:val="004418B4"/>
    <w:rsid w:val="00441995"/>
    <w:rsid w:val="00441A1E"/>
    <w:rsid w:val="00442929"/>
    <w:rsid w:val="00443080"/>
    <w:rsid w:val="00443827"/>
    <w:rsid w:val="00443903"/>
    <w:rsid w:val="00444678"/>
    <w:rsid w:val="00444754"/>
    <w:rsid w:val="00445DAC"/>
    <w:rsid w:val="00446629"/>
    <w:rsid w:val="00446BC1"/>
    <w:rsid w:val="0044726E"/>
    <w:rsid w:val="00447751"/>
    <w:rsid w:val="00447D3A"/>
    <w:rsid w:val="00450532"/>
    <w:rsid w:val="004513B8"/>
    <w:rsid w:val="00452638"/>
    <w:rsid w:val="004530C4"/>
    <w:rsid w:val="0045322B"/>
    <w:rsid w:val="00453744"/>
    <w:rsid w:val="004537A7"/>
    <w:rsid w:val="00454972"/>
    <w:rsid w:val="00455A35"/>
    <w:rsid w:val="00455CF8"/>
    <w:rsid w:val="004579DE"/>
    <w:rsid w:val="00457B5A"/>
    <w:rsid w:val="00457E28"/>
    <w:rsid w:val="00460101"/>
    <w:rsid w:val="0046041E"/>
    <w:rsid w:val="00460589"/>
    <w:rsid w:val="004605AB"/>
    <w:rsid w:val="00460EFC"/>
    <w:rsid w:val="004619C5"/>
    <w:rsid w:val="00461BC0"/>
    <w:rsid w:val="004625C1"/>
    <w:rsid w:val="004626A3"/>
    <w:rsid w:val="00462E43"/>
    <w:rsid w:val="00463183"/>
    <w:rsid w:val="00463945"/>
    <w:rsid w:val="00463F21"/>
    <w:rsid w:val="00463F94"/>
    <w:rsid w:val="00464F79"/>
    <w:rsid w:val="00465052"/>
    <w:rsid w:val="00465146"/>
    <w:rsid w:val="00465515"/>
    <w:rsid w:val="00465C44"/>
    <w:rsid w:val="004666B9"/>
    <w:rsid w:val="00467340"/>
    <w:rsid w:val="004676B0"/>
    <w:rsid w:val="00467807"/>
    <w:rsid w:val="00470404"/>
    <w:rsid w:val="004707D2"/>
    <w:rsid w:val="00470E5E"/>
    <w:rsid w:val="00470F1E"/>
    <w:rsid w:val="004724A6"/>
    <w:rsid w:val="00472D4D"/>
    <w:rsid w:val="004733A6"/>
    <w:rsid w:val="004739F9"/>
    <w:rsid w:val="00473E3D"/>
    <w:rsid w:val="00474FD8"/>
    <w:rsid w:val="00476347"/>
    <w:rsid w:val="00477C05"/>
    <w:rsid w:val="00480020"/>
    <w:rsid w:val="00480791"/>
    <w:rsid w:val="00480A21"/>
    <w:rsid w:val="00480B0F"/>
    <w:rsid w:val="00481686"/>
    <w:rsid w:val="004816D0"/>
    <w:rsid w:val="0048283D"/>
    <w:rsid w:val="00483C57"/>
    <w:rsid w:val="004845D3"/>
    <w:rsid w:val="00484EDC"/>
    <w:rsid w:val="00485005"/>
    <w:rsid w:val="0048596B"/>
    <w:rsid w:val="00486175"/>
    <w:rsid w:val="0048673C"/>
    <w:rsid w:val="00486A61"/>
    <w:rsid w:val="00486D84"/>
    <w:rsid w:val="004873DD"/>
    <w:rsid w:val="00487F2D"/>
    <w:rsid w:val="004902BB"/>
    <w:rsid w:val="00490FE4"/>
    <w:rsid w:val="00491520"/>
    <w:rsid w:val="00491543"/>
    <w:rsid w:val="00491B13"/>
    <w:rsid w:val="00492532"/>
    <w:rsid w:val="00492A34"/>
    <w:rsid w:val="00494F05"/>
    <w:rsid w:val="00494FD2"/>
    <w:rsid w:val="0049690B"/>
    <w:rsid w:val="00496FF4"/>
    <w:rsid w:val="004970A1"/>
    <w:rsid w:val="0049735D"/>
    <w:rsid w:val="00497381"/>
    <w:rsid w:val="004A09DF"/>
    <w:rsid w:val="004A0F10"/>
    <w:rsid w:val="004A0F18"/>
    <w:rsid w:val="004A12B0"/>
    <w:rsid w:val="004A12D7"/>
    <w:rsid w:val="004A1C6C"/>
    <w:rsid w:val="004A220A"/>
    <w:rsid w:val="004A25DC"/>
    <w:rsid w:val="004A2B97"/>
    <w:rsid w:val="004A34C9"/>
    <w:rsid w:val="004A38E7"/>
    <w:rsid w:val="004A3B0D"/>
    <w:rsid w:val="004A5411"/>
    <w:rsid w:val="004A61FA"/>
    <w:rsid w:val="004A636D"/>
    <w:rsid w:val="004A7239"/>
    <w:rsid w:val="004A73CB"/>
    <w:rsid w:val="004A7BEA"/>
    <w:rsid w:val="004B0488"/>
    <w:rsid w:val="004B04C4"/>
    <w:rsid w:val="004B04C7"/>
    <w:rsid w:val="004B0E90"/>
    <w:rsid w:val="004B1A75"/>
    <w:rsid w:val="004B2D91"/>
    <w:rsid w:val="004B30B5"/>
    <w:rsid w:val="004B32ED"/>
    <w:rsid w:val="004B3449"/>
    <w:rsid w:val="004B3BDE"/>
    <w:rsid w:val="004B3CD2"/>
    <w:rsid w:val="004B3CED"/>
    <w:rsid w:val="004B45F6"/>
    <w:rsid w:val="004B4628"/>
    <w:rsid w:val="004B4A2F"/>
    <w:rsid w:val="004B544F"/>
    <w:rsid w:val="004B6614"/>
    <w:rsid w:val="004B67A8"/>
    <w:rsid w:val="004B67FA"/>
    <w:rsid w:val="004B6D6E"/>
    <w:rsid w:val="004B7B1B"/>
    <w:rsid w:val="004C01AE"/>
    <w:rsid w:val="004C02F9"/>
    <w:rsid w:val="004C1C69"/>
    <w:rsid w:val="004C2844"/>
    <w:rsid w:val="004C2903"/>
    <w:rsid w:val="004C31B9"/>
    <w:rsid w:val="004C4399"/>
    <w:rsid w:val="004C4592"/>
    <w:rsid w:val="004C4875"/>
    <w:rsid w:val="004C4EE1"/>
    <w:rsid w:val="004C51C0"/>
    <w:rsid w:val="004C5A95"/>
    <w:rsid w:val="004C6278"/>
    <w:rsid w:val="004C667A"/>
    <w:rsid w:val="004C6D74"/>
    <w:rsid w:val="004D0250"/>
    <w:rsid w:val="004D09F8"/>
    <w:rsid w:val="004D0A48"/>
    <w:rsid w:val="004D10C6"/>
    <w:rsid w:val="004D1E5D"/>
    <w:rsid w:val="004D1E8C"/>
    <w:rsid w:val="004D290B"/>
    <w:rsid w:val="004D2A4E"/>
    <w:rsid w:val="004D2C16"/>
    <w:rsid w:val="004D2C8D"/>
    <w:rsid w:val="004D2F67"/>
    <w:rsid w:val="004D33D4"/>
    <w:rsid w:val="004D36BB"/>
    <w:rsid w:val="004D3EA8"/>
    <w:rsid w:val="004D4515"/>
    <w:rsid w:val="004D5648"/>
    <w:rsid w:val="004D758B"/>
    <w:rsid w:val="004D7790"/>
    <w:rsid w:val="004D785A"/>
    <w:rsid w:val="004E04D1"/>
    <w:rsid w:val="004E0541"/>
    <w:rsid w:val="004E1C4B"/>
    <w:rsid w:val="004E2082"/>
    <w:rsid w:val="004E2739"/>
    <w:rsid w:val="004E2C6E"/>
    <w:rsid w:val="004E378B"/>
    <w:rsid w:val="004E3938"/>
    <w:rsid w:val="004E4320"/>
    <w:rsid w:val="004E47A8"/>
    <w:rsid w:val="004E498F"/>
    <w:rsid w:val="004E4AD3"/>
    <w:rsid w:val="004E4F60"/>
    <w:rsid w:val="004E526C"/>
    <w:rsid w:val="004E53F1"/>
    <w:rsid w:val="004E5762"/>
    <w:rsid w:val="004E59A7"/>
    <w:rsid w:val="004E5A0F"/>
    <w:rsid w:val="004E5CF6"/>
    <w:rsid w:val="004E61B8"/>
    <w:rsid w:val="004E627D"/>
    <w:rsid w:val="004E62DC"/>
    <w:rsid w:val="004E65A5"/>
    <w:rsid w:val="004E724B"/>
    <w:rsid w:val="004E7455"/>
    <w:rsid w:val="004E7CF5"/>
    <w:rsid w:val="004F0627"/>
    <w:rsid w:val="004F14BC"/>
    <w:rsid w:val="004F17E7"/>
    <w:rsid w:val="004F18C3"/>
    <w:rsid w:val="004F352D"/>
    <w:rsid w:val="004F387C"/>
    <w:rsid w:val="004F3BDD"/>
    <w:rsid w:val="004F3D51"/>
    <w:rsid w:val="004F3DE7"/>
    <w:rsid w:val="004F485B"/>
    <w:rsid w:val="004F5935"/>
    <w:rsid w:val="004F61A8"/>
    <w:rsid w:val="004F6764"/>
    <w:rsid w:val="004F6C75"/>
    <w:rsid w:val="004F6EA6"/>
    <w:rsid w:val="004F6F76"/>
    <w:rsid w:val="004F7104"/>
    <w:rsid w:val="004F7189"/>
    <w:rsid w:val="004F7E1B"/>
    <w:rsid w:val="0050033F"/>
    <w:rsid w:val="0050086C"/>
    <w:rsid w:val="00500B04"/>
    <w:rsid w:val="00500E00"/>
    <w:rsid w:val="005012F3"/>
    <w:rsid w:val="00501524"/>
    <w:rsid w:val="00501A51"/>
    <w:rsid w:val="00501F76"/>
    <w:rsid w:val="005021EB"/>
    <w:rsid w:val="00502280"/>
    <w:rsid w:val="005031A4"/>
    <w:rsid w:val="00503652"/>
    <w:rsid w:val="0050386D"/>
    <w:rsid w:val="00503997"/>
    <w:rsid w:val="0050403C"/>
    <w:rsid w:val="0050425D"/>
    <w:rsid w:val="00504ED1"/>
    <w:rsid w:val="005050D2"/>
    <w:rsid w:val="00505463"/>
    <w:rsid w:val="00505E40"/>
    <w:rsid w:val="00505FD6"/>
    <w:rsid w:val="005062C2"/>
    <w:rsid w:val="00506D3A"/>
    <w:rsid w:val="00506DC3"/>
    <w:rsid w:val="00507213"/>
    <w:rsid w:val="00507AE0"/>
    <w:rsid w:val="00510A58"/>
    <w:rsid w:val="0051127D"/>
    <w:rsid w:val="0051160B"/>
    <w:rsid w:val="00511FDA"/>
    <w:rsid w:val="00512544"/>
    <w:rsid w:val="005128E8"/>
    <w:rsid w:val="00512BD0"/>
    <w:rsid w:val="0051346A"/>
    <w:rsid w:val="00513B32"/>
    <w:rsid w:val="00513BB3"/>
    <w:rsid w:val="005141D1"/>
    <w:rsid w:val="00514736"/>
    <w:rsid w:val="00514CEF"/>
    <w:rsid w:val="005150B5"/>
    <w:rsid w:val="005154F5"/>
    <w:rsid w:val="00515987"/>
    <w:rsid w:val="00515F6C"/>
    <w:rsid w:val="005168F8"/>
    <w:rsid w:val="005173E2"/>
    <w:rsid w:val="005175F6"/>
    <w:rsid w:val="005176CB"/>
    <w:rsid w:val="00520637"/>
    <w:rsid w:val="00520C0A"/>
    <w:rsid w:val="00520CEE"/>
    <w:rsid w:val="00520D9E"/>
    <w:rsid w:val="00521AA3"/>
    <w:rsid w:val="00521E5F"/>
    <w:rsid w:val="00522157"/>
    <w:rsid w:val="005221D3"/>
    <w:rsid w:val="005226D9"/>
    <w:rsid w:val="00522D7A"/>
    <w:rsid w:val="00522EDE"/>
    <w:rsid w:val="00522F5B"/>
    <w:rsid w:val="00524540"/>
    <w:rsid w:val="00524630"/>
    <w:rsid w:val="005248C4"/>
    <w:rsid w:val="00524D8D"/>
    <w:rsid w:val="005251C0"/>
    <w:rsid w:val="00525D4F"/>
    <w:rsid w:val="00525D63"/>
    <w:rsid w:val="0052623B"/>
    <w:rsid w:val="005268EA"/>
    <w:rsid w:val="00527827"/>
    <w:rsid w:val="005278F6"/>
    <w:rsid w:val="00530774"/>
    <w:rsid w:val="00530A39"/>
    <w:rsid w:val="00530D49"/>
    <w:rsid w:val="00532415"/>
    <w:rsid w:val="00532C35"/>
    <w:rsid w:val="00533B8E"/>
    <w:rsid w:val="00534288"/>
    <w:rsid w:val="00534937"/>
    <w:rsid w:val="00534B76"/>
    <w:rsid w:val="00534CE6"/>
    <w:rsid w:val="00535126"/>
    <w:rsid w:val="00535D7B"/>
    <w:rsid w:val="00536462"/>
    <w:rsid w:val="005366A9"/>
    <w:rsid w:val="0053672B"/>
    <w:rsid w:val="00536C5B"/>
    <w:rsid w:val="00536E02"/>
    <w:rsid w:val="00536EDE"/>
    <w:rsid w:val="00537287"/>
    <w:rsid w:val="00537347"/>
    <w:rsid w:val="005374B7"/>
    <w:rsid w:val="00537820"/>
    <w:rsid w:val="00537BA1"/>
    <w:rsid w:val="00540CE0"/>
    <w:rsid w:val="005418C4"/>
    <w:rsid w:val="0054222D"/>
    <w:rsid w:val="00542729"/>
    <w:rsid w:val="00543807"/>
    <w:rsid w:val="005444AA"/>
    <w:rsid w:val="00544A04"/>
    <w:rsid w:val="00544BC1"/>
    <w:rsid w:val="00544CC1"/>
    <w:rsid w:val="00545436"/>
    <w:rsid w:val="0054548B"/>
    <w:rsid w:val="005455EF"/>
    <w:rsid w:val="00545714"/>
    <w:rsid w:val="0054574C"/>
    <w:rsid w:val="00546E7A"/>
    <w:rsid w:val="00546FA1"/>
    <w:rsid w:val="0054706B"/>
    <w:rsid w:val="00547AC7"/>
    <w:rsid w:val="0055011C"/>
    <w:rsid w:val="0055181B"/>
    <w:rsid w:val="005523DF"/>
    <w:rsid w:val="00552E5D"/>
    <w:rsid w:val="00552F03"/>
    <w:rsid w:val="00553B88"/>
    <w:rsid w:val="00553FF9"/>
    <w:rsid w:val="00554062"/>
    <w:rsid w:val="00554234"/>
    <w:rsid w:val="00554616"/>
    <w:rsid w:val="00554927"/>
    <w:rsid w:val="00555A61"/>
    <w:rsid w:val="00555ACF"/>
    <w:rsid w:val="00555BE8"/>
    <w:rsid w:val="005565AB"/>
    <w:rsid w:val="005569D9"/>
    <w:rsid w:val="00557436"/>
    <w:rsid w:val="005578DB"/>
    <w:rsid w:val="00557A09"/>
    <w:rsid w:val="00557D1A"/>
    <w:rsid w:val="0056058D"/>
    <w:rsid w:val="0056085F"/>
    <w:rsid w:val="00560B90"/>
    <w:rsid w:val="00561819"/>
    <w:rsid w:val="0056181E"/>
    <w:rsid w:val="00561A2A"/>
    <w:rsid w:val="005622D0"/>
    <w:rsid w:val="0056318E"/>
    <w:rsid w:val="00563742"/>
    <w:rsid w:val="0056381C"/>
    <w:rsid w:val="00563D0E"/>
    <w:rsid w:val="00564282"/>
    <w:rsid w:val="005642C8"/>
    <w:rsid w:val="00564BDB"/>
    <w:rsid w:val="005653B4"/>
    <w:rsid w:val="005662C1"/>
    <w:rsid w:val="00566722"/>
    <w:rsid w:val="005667FC"/>
    <w:rsid w:val="00566D80"/>
    <w:rsid w:val="00566E83"/>
    <w:rsid w:val="0056733F"/>
    <w:rsid w:val="005675FF"/>
    <w:rsid w:val="00567914"/>
    <w:rsid w:val="00567D81"/>
    <w:rsid w:val="00567EBA"/>
    <w:rsid w:val="005700CC"/>
    <w:rsid w:val="005705BC"/>
    <w:rsid w:val="00570A8C"/>
    <w:rsid w:val="00570DC8"/>
    <w:rsid w:val="00570E3E"/>
    <w:rsid w:val="0057134D"/>
    <w:rsid w:val="005717A3"/>
    <w:rsid w:val="00571CBE"/>
    <w:rsid w:val="00571F4C"/>
    <w:rsid w:val="00572462"/>
    <w:rsid w:val="00572AE8"/>
    <w:rsid w:val="00572ED0"/>
    <w:rsid w:val="00573587"/>
    <w:rsid w:val="00573FE0"/>
    <w:rsid w:val="0057437C"/>
    <w:rsid w:val="0057466A"/>
    <w:rsid w:val="00574907"/>
    <w:rsid w:val="005757C5"/>
    <w:rsid w:val="0057628E"/>
    <w:rsid w:val="005774B5"/>
    <w:rsid w:val="005802D5"/>
    <w:rsid w:val="005806FD"/>
    <w:rsid w:val="0058085F"/>
    <w:rsid w:val="00580D68"/>
    <w:rsid w:val="00580F07"/>
    <w:rsid w:val="00581469"/>
    <w:rsid w:val="005837FD"/>
    <w:rsid w:val="00583853"/>
    <w:rsid w:val="00583EC9"/>
    <w:rsid w:val="00584E0F"/>
    <w:rsid w:val="0058554D"/>
    <w:rsid w:val="005857AA"/>
    <w:rsid w:val="00585B7B"/>
    <w:rsid w:val="00586CAC"/>
    <w:rsid w:val="005874EC"/>
    <w:rsid w:val="005877DD"/>
    <w:rsid w:val="005913FE"/>
    <w:rsid w:val="00592093"/>
    <w:rsid w:val="005923E1"/>
    <w:rsid w:val="00593094"/>
    <w:rsid w:val="005933AC"/>
    <w:rsid w:val="0059345B"/>
    <w:rsid w:val="00593959"/>
    <w:rsid w:val="0059435D"/>
    <w:rsid w:val="00594500"/>
    <w:rsid w:val="00594558"/>
    <w:rsid w:val="0059535B"/>
    <w:rsid w:val="005954FA"/>
    <w:rsid w:val="005959D2"/>
    <w:rsid w:val="00596375"/>
    <w:rsid w:val="00596C26"/>
    <w:rsid w:val="005A10A8"/>
    <w:rsid w:val="005A141C"/>
    <w:rsid w:val="005A19B2"/>
    <w:rsid w:val="005A1D82"/>
    <w:rsid w:val="005A244C"/>
    <w:rsid w:val="005A388E"/>
    <w:rsid w:val="005A3F5E"/>
    <w:rsid w:val="005A4401"/>
    <w:rsid w:val="005A44F3"/>
    <w:rsid w:val="005A54C5"/>
    <w:rsid w:val="005A626B"/>
    <w:rsid w:val="005A6CEA"/>
    <w:rsid w:val="005A6DF6"/>
    <w:rsid w:val="005A6E0F"/>
    <w:rsid w:val="005A72F1"/>
    <w:rsid w:val="005A7590"/>
    <w:rsid w:val="005A7CFF"/>
    <w:rsid w:val="005A7DC2"/>
    <w:rsid w:val="005B00FD"/>
    <w:rsid w:val="005B0531"/>
    <w:rsid w:val="005B0778"/>
    <w:rsid w:val="005B18CC"/>
    <w:rsid w:val="005B1F48"/>
    <w:rsid w:val="005B291F"/>
    <w:rsid w:val="005B29C6"/>
    <w:rsid w:val="005B2D5B"/>
    <w:rsid w:val="005B3426"/>
    <w:rsid w:val="005B38A1"/>
    <w:rsid w:val="005B4D11"/>
    <w:rsid w:val="005B4F10"/>
    <w:rsid w:val="005B5164"/>
    <w:rsid w:val="005B51BD"/>
    <w:rsid w:val="005B53C1"/>
    <w:rsid w:val="005B5882"/>
    <w:rsid w:val="005B5C71"/>
    <w:rsid w:val="005B63E8"/>
    <w:rsid w:val="005B6568"/>
    <w:rsid w:val="005B6B1C"/>
    <w:rsid w:val="005B70FC"/>
    <w:rsid w:val="005B796F"/>
    <w:rsid w:val="005B7EF3"/>
    <w:rsid w:val="005C04A5"/>
    <w:rsid w:val="005C0783"/>
    <w:rsid w:val="005C0B9E"/>
    <w:rsid w:val="005C0E7F"/>
    <w:rsid w:val="005C1A1B"/>
    <w:rsid w:val="005C2B22"/>
    <w:rsid w:val="005C2D15"/>
    <w:rsid w:val="005C39B1"/>
    <w:rsid w:val="005C3FD0"/>
    <w:rsid w:val="005C44AD"/>
    <w:rsid w:val="005C4CBB"/>
    <w:rsid w:val="005C526E"/>
    <w:rsid w:val="005C57C8"/>
    <w:rsid w:val="005C6868"/>
    <w:rsid w:val="005C6B2C"/>
    <w:rsid w:val="005C6E56"/>
    <w:rsid w:val="005C70EB"/>
    <w:rsid w:val="005C7A9E"/>
    <w:rsid w:val="005D0914"/>
    <w:rsid w:val="005D0EE1"/>
    <w:rsid w:val="005D1C7B"/>
    <w:rsid w:val="005D2C58"/>
    <w:rsid w:val="005D3148"/>
    <w:rsid w:val="005D47AC"/>
    <w:rsid w:val="005D5246"/>
    <w:rsid w:val="005D58AF"/>
    <w:rsid w:val="005D5912"/>
    <w:rsid w:val="005D5F8D"/>
    <w:rsid w:val="005D5F9C"/>
    <w:rsid w:val="005D6256"/>
    <w:rsid w:val="005D67F6"/>
    <w:rsid w:val="005D6F70"/>
    <w:rsid w:val="005D768A"/>
    <w:rsid w:val="005D78AB"/>
    <w:rsid w:val="005E0216"/>
    <w:rsid w:val="005E0308"/>
    <w:rsid w:val="005E1483"/>
    <w:rsid w:val="005E1E5E"/>
    <w:rsid w:val="005E271D"/>
    <w:rsid w:val="005E2836"/>
    <w:rsid w:val="005E2A23"/>
    <w:rsid w:val="005E2C23"/>
    <w:rsid w:val="005E2E65"/>
    <w:rsid w:val="005E30E7"/>
    <w:rsid w:val="005E339D"/>
    <w:rsid w:val="005E341C"/>
    <w:rsid w:val="005E367C"/>
    <w:rsid w:val="005E4509"/>
    <w:rsid w:val="005E452E"/>
    <w:rsid w:val="005E453A"/>
    <w:rsid w:val="005E66F8"/>
    <w:rsid w:val="005E673C"/>
    <w:rsid w:val="005E6786"/>
    <w:rsid w:val="005E6E1A"/>
    <w:rsid w:val="005E74A0"/>
    <w:rsid w:val="005E763C"/>
    <w:rsid w:val="005E7951"/>
    <w:rsid w:val="005F1342"/>
    <w:rsid w:val="005F1509"/>
    <w:rsid w:val="005F192A"/>
    <w:rsid w:val="005F1E60"/>
    <w:rsid w:val="005F1E8C"/>
    <w:rsid w:val="005F1EF2"/>
    <w:rsid w:val="005F35CA"/>
    <w:rsid w:val="005F4B80"/>
    <w:rsid w:val="005F529B"/>
    <w:rsid w:val="005F5B33"/>
    <w:rsid w:val="005F66E3"/>
    <w:rsid w:val="005F73BB"/>
    <w:rsid w:val="005F7ABE"/>
    <w:rsid w:val="006007E4"/>
    <w:rsid w:val="0060174B"/>
    <w:rsid w:val="00601E08"/>
    <w:rsid w:val="00601E51"/>
    <w:rsid w:val="0060203D"/>
    <w:rsid w:val="00602C20"/>
    <w:rsid w:val="00603047"/>
    <w:rsid w:val="0060366A"/>
    <w:rsid w:val="006037FD"/>
    <w:rsid w:val="00603B71"/>
    <w:rsid w:val="00603C00"/>
    <w:rsid w:val="00603CFE"/>
    <w:rsid w:val="00604A04"/>
    <w:rsid w:val="00604A51"/>
    <w:rsid w:val="00605272"/>
    <w:rsid w:val="00605282"/>
    <w:rsid w:val="00605709"/>
    <w:rsid w:val="00605D8F"/>
    <w:rsid w:val="006060AE"/>
    <w:rsid w:val="0060612A"/>
    <w:rsid w:val="006063A7"/>
    <w:rsid w:val="006065A9"/>
    <w:rsid w:val="00607777"/>
    <w:rsid w:val="00607C26"/>
    <w:rsid w:val="00607C36"/>
    <w:rsid w:val="006109FA"/>
    <w:rsid w:val="00610E12"/>
    <w:rsid w:val="00612457"/>
    <w:rsid w:val="0061249C"/>
    <w:rsid w:val="00612BBA"/>
    <w:rsid w:val="00612EFD"/>
    <w:rsid w:val="006130FA"/>
    <w:rsid w:val="00614004"/>
    <w:rsid w:val="00614EA2"/>
    <w:rsid w:val="00615774"/>
    <w:rsid w:val="0061598A"/>
    <w:rsid w:val="00616250"/>
    <w:rsid w:val="0061646A"/>
    <w:rsid w:val="00616814"/>
    <w:rsid w:val="00616A07"/>
    <w:rsid w:val="00616C35"/>
    <w:rsid w:val="00616E1F"/>
    <w:rsid w:val="0061753F"/>
    <w:rsid w:val="00617BA3"/>
    <w:rsid w:val="00620388"/>
    <w:rsid w:val="0062059D"/>
    <w:rsid w:val="00620A75"/>
    <w:rsid w:val="00621129"/>
    <w:rsid w:val="00621157"/>
    <w:rsid w:val="0062133B"/>
    <w:rsid w:val="0062176A"/>
    <w:rsid w:val="0062223F"/>
    <w:rsid w:val="00622609"/>
    <w:rsid w:val="006227A3"/>
    <w:rsid w:val="006228C7"/>
    <w:rsid w:val="00622C39"/>
    <w:rsid w:val="00623558"/>
    <w:rsid w:val="00623F4D"/>
    <w:rsid w:val="006247DD"/>
    <w:rsid w:val="00625035"/>
    <w:rsid w:val="006253B4"/>
    <w:rsid w:val="006254A8"/>
    <w:rsid w:val="00625CDF"/>
    <w:rsid w:val="00626658"/>
    <w:rsid w:val="0062765B"/>
    <w:rsid w:val="00627743"/>
    <w:rsid w:val="0062774D"/>
    <w:rsid w:val="006302C6"/>
    <w:rsid w:val="00630368"/>
    <w:rsid w:val="00630A0F"/>
    <w:rsid w:val="00630E8F"/>
    <w:rsid w:val="0063116B"/>
    <w:rsid w:val="00631A81"/>
    <w:rsid w:val="00631AC8"/>
    <w:rsid w:val="00631B74"/>
    <w:rsid w:val="006322CC"/>
    <w:rsid w:val="00632924"/>
    <w:rsid w:val="00632AB5"/>
    <w:rsid w:val="00632D85"/>
    <w:rsid w:val="00633124"/>
    <w:rsid w:val="00633144"/>
    <w:rsid w:val="00634328"/>
    <w:rsid w:val="00634912"/>
    <w:rsid w:val="00635226"/>
    <w:rsid w:val="00636FAA"/>
    <w:rsid w:val="006371BC"/>
    <w:rsid w:val="00637261"/>
    <w:rsid w:val="00637359"/>
    <w:rsid w:val="006373C3"/>
    <w:rsid w:val="00637B8C"/>
    <w:rsid w:val="00637DB7"/>
    <w:rsid w:val="006404A6"/>
    <w:rsid w:val="00640FAD"/>
    <w:rsid w:val="0064134C"/>
    <w:rsid w:val="006419B5"/>
    <w:rsid w:val="006419B9"/>
    <w:rsid w:val="00641D71"/>
    <w:rsid w:val="00642AF0"/>
    <w:rsid w:val="00642C31"/>
    <w:rsid w:val="00642E25"/>
    <w:rsid w:val="00643405"/>
    <w:rsid w:val="0064375A"/>
    <w:rsid w:val="00643AE7"/>
    <w:rsid w:val="00644028"/>
    <w:rsid w:val="00644A02"/>
    <w:rsid w:val="006457C4"/>
    <w:rsid w:val="00645BA0"/>
    <w:rsid w:val="006464A1"/>
    <w:rsid w:val="00647C98"/>
    <w:rsid w:val="006500EC"/>
    <w:rsid w:val="006513D6"/>
    <w:rsid w:val="006520F0"/>
    <w:rsid w:val="0065211E"/>
    <w:rsid w:val="0065278D"/>
    <w:rsid w:val="00652E84"/>
    <w:rsid w:val="00653181"/>
    <w:rsid w:val="00654282"/>
    <w:rsid w:val="0065435A"/>
    <w:rsid w:val="00654F6B"/>
    <w:rsid w:val="006554F0"/>
    <w:rsid w:val="006557AD"/>
    <w:rsid w:val="00655B38"/>
    <w:rsid w:val="00655F2F"/>
    <w:rsid w:val="00656737"/>
    <w:rsid w:val="0065769E"/>
    <w:rsid w:val="006577DF"/>
    <w:rsid w:val="0065783E"/>
    <w:rsid w:val="006600DB"/>
    <w:rsid w:val="0066082A"/>
    <w:rsid w:val="00661DD8"/>
    <w:rsid w:val="00661F02"/>
    <w:rsid w:val="00662128"/>
    <w:rsid w:val="00662AAF"/>
    <w:rsid w:val="00662BEA"/>
    <w:rsid w:val="00663131"/>
    <w:rsid w:val="006632FB"/>
    <w:rsid w:val="006634B5"/>
    <w:rsid w:val="0066386C"/>
    <w:rsid w:val="00663BB7"/>
    <w:rsid w:val="00664228"/>
    <w:rsid w:val="006647D4"/>
    <w:rsid w:val="00664A4F"/>
    <w:rsid w:val="00665457"/>
    <w:rsid w:val="006663F9"/>
    <w:rsid w:val="006663FC"/>
    <w:rsid w:val="00667480"/>
    <w:rsid w:val="00670760"/>
    <w:rsid w:val="0067087F"/>
    <w:rsid w:val="006708E1"/>
    <w:rsid w:val="00670B37"/>
    <w:rsid w:val="00670D7A"/>
    <w:rsid w:val="00670DBB"/>
    <w:rsid w:val="00671C6C"/>
    <w:rsid w:val="006725C1"/>
    <w:rsid w:val="00672FB8"/>
    <w:rsid w:val="00673467"/>
    <w:rsid w:val="0067410D"/>
    <w:rsid w:val="006741D0"/>
    <w:rsid w:val="00674762"/>
    <w:rsid w:val="006747A1"/>
    <w:rsid w:val="00675214"/>
    <w:rsid w:val="0067576D"/>
    <w:rsid w:val="00675943"/>
    <w:rsid w:val="00675AE9"/>
    <w:rsid w:val="00675B0C"/>
    <w:rsid w:val="00675F3F"/>
    <w:rsid w:val="006761D2"/>
    <w:rsid w:val="00676DD7"/>
    <w:rsid w:val="00676F2D"/>
    <w:rsid w:val="006778F1"/>
    <w:rsid w:val="00677B45"/>
    <w:rsid w:val="00677F8D"/>
    <w:rsid w:val="00680A27"/>
    <w:rsid w:val="00680E9F"/>
    <w:rsid w:val="00681038"/>
    <w:rsid w:val="00681101"/>
    <w:rsid w:val="00681478"/>
    <w:rsid w:val="00681666"/>
    <w:rsid w:val="00682498"/>
    <w:rsid w:val="00682B08"/>
    <w:rsid w:val="00682D8C"/>
    <w:rsid w:val="006830EB"/>
    <w:rsid w:val="006832B3"/>
    <w:rsid w:val="006834E9"/>
    <w:rsid w:val="006839F9"/>
    <w:rsid w:val="00684533"/>
    <w:rsid w:val="00684C6F"/>
    <w:rsid w:val="00685560"/>
    <w:rsid w:val="00685702"/>
    <w:rsid w:val="00685717"/>
    <w:rsid w:val="0068586C"/>
    <w:rsid w:val="00685B13"/>
    <w:rsid w:val="00686061"/>
    <w:rsid w:val="006861B5"/>
    <w:rsid w:val="00686CDA"/>
    <w:rsid w:val="006877E2"/>
    <w:rsid w:val="00687A93"/>
    <w:rsid w:val="00687ACD"/>
    <w:rsid w:val="00690044"/>
    <w:rsid w:val="00690109"/>
    <w:rsid w:val="00690557"/>
    <w:rsid w:val="006912AB"/>
    <w:rsid w:val="0069134D"/>
    <w:rsid w:val="006913B4"/>
    <w:rsid w:val="0069155A"/>
    <w:rsid w:val="00691DF7"/>
    <w:rsid w:val="0069241F"/>
    <w:rsid w:val="00692DAD"/>
    <w:rsid w:val="00693394"/>
    <w:rsid w:val="006934F8"/>
    <w:rsid w:val="00694B0E"/>
    <w:rsid w:val="00695039"/>
    <w:rsid w:val="0069509A"/>
    <w:rsid w:val="00695F37"/>
    <w:rsid w:val="0069632E"/>
    <w:rsid w:val="00696979"/>
    <w:rsid w:val="006975E0"/>
    <w:rsid w:val="006A015F"/>
    <w:rsid w:val="006A07C6"/>
    <w:rsid w:val="006A07D8"/>
    <w:rsid w:val="006A0C13"/>
    <w:rsid w:val="006A1AC5"/>
    <w:rsid w:val="006A25CC"/>
    <w:rsid w:val="006A2923"/>
    <w:rsid w:val="006A2BDA"/>
    <w:rsid w:val="006A39C6"/>
    <w:rsid w:val="006A3C6C"/>
    <w:rsid w:val="006A3FF5"/>
    <w:rsid w:val="006A4FF5"/>
    <w:rsid w:val="006A524A"/>
    <w:rsid w:val="006A5278"/>
    <w:rsid w:val="006A57F8"/>
    <w:rsid w:val="006A5A96"/>
    <w:rsid w:val="006A659E"/>
    <w:rsid w:val="006A684F"/>
    <w:rsid w:val="006A7437"/>
    <w:rsid w:val="006A7443"/>
    <w:rsid w:val="006A74FF"/>
    <w:rsid w:val="006A78EE"/>
    <w:rsid w:val="006B011E"/>
    <w:rsid w:val="006B0129"/>
    <w:rsid w:val="006B0995"/>
    <w:rsid w:val="006B0997"/>
    <w:rsid w:val="006B0EEC"/>
    <w:rsid w:val="006B24AB"/>
    <w:rsid w:val="006B26EA"/>
    <w:rsid w:val="006B2965"/>
    <w:rsid w:val="006B2C06"/>
    <w:rsid w:val="006B3180"/>
    <w:rsid w:val="006B4163"/>
    <w:rsid w:val="006B4812"/>
    <w:rsid w:val="006B4A87"/>
    <w:rsid w:val="006B4FF6"/>
    <w:rsid w:val="006B534D"/>
    <w:rsid w:val="006B5DC1"/>
    <w:rsid w:val="006B60EC"/>
    <w:rsid w:val="006B6607"/>
    <w:rsid w:val="006B7532"/>
    <w:rsid w:val="006B762F"/>
    <w:rsid w:val="006B7DD6"/>
    <w:rsid w:val="006C0B66"/>
    <w:rsid w:val="006C13DA"/>
    <w:rsid w:val="006C264D"/>
    <w:rsid w:val="006C265E"/>
    <w:rsid w:val="006C34C6"/>
    <w:rsid w:val="006C394E"/>
    <w:rsid w:val="006C3DC3"/>
    <w:rsid w:val="006C3FC5"/>
    <w:rsid w:val="006C5386"/>
    <w:rsid w:val="006C56CD"/>
    <w:rsid w:val="006C5B55"/>
    <w:rsid w:val="006C5FAF"/>
    <w:rsid w:val="006C62D1"/>
    <w:rsid w:val="006C739F"/>
    <w:rsid w:val="006C7928"/>
    <w:rsid w:val="006C7939"/>
    <w:rsid w:val="006C7C72"/>
    <w:rsid w:val="006D042E"/>
    <w:rsid w:val="006D0612"/>
    <w:rsid w:val="006D1943"/>
    <w:rsid w:val="006D2263"/>
    <w:rsid w:val="006D296C"/>
    <w:rsid w:val="006D2AF6"/>
    <w:rsid w:val="006D2BD4"/>
    <w:rsid w:val="006D35F6"/>
    <w:rsid w:val="006D3FB6"/>
    <w:rsid w:val="006D4716"/>
    <w:rsid w:val="006D5A26"/>
    <w:rsid w:val="006D5FEA"/>
    <w:rsid w:val="006D61AC"/>
    <w:rsid w:val="006D7677"/>
    <w:rsid w:val="006E14CC"/>
    <w:rsid w:val="006E1D0B"/>
    <w:rsid w:val="006E1DB7"/>
    <w:rsid w:val="006E24E1"/>
    <w:rsid w:val="006E2C0A"/>
    <w:rsid w:val="006E3176"/>
    <w:rsid w:val="006E33EE"/>
    <w:rsid w:val="006E3B0C"/>
    <w:rsid w:val="006E4093"/>
    <w:rsid w:val="006E4370"/>
    <w:rsid w:val="006E48E9"/>
    <w:rsid w:val="006E4A0B"/>
    <w:rsid w:val="006E5CAD"/>
    <w:rsid w:val="006E64C7"/>
    <w:rsid w:val="006E721C"/>
    <w:rsid w:val="006E78A0"/>
    <w:rsid w:val="006E7A88"/>
    <w:rsid w:val="006E7FDB"/>
    <w:rsid w:val="006F08F8"/>
    <w:rsid w:val="006F093B"/>
    <w:rsid w:val="006F0B43"/>
    <w:rsid w:val="006F0CA6"/>
    <w:rsid w:val="006F1C5F"/>
    <w:rsid w:val="006F29EC"/>
    <w:rsid w:val="006F2CE0"/>
    <w:rsid w:val="006F3500"/>
    <w:rsid w:val="006F3D40"/>
    <w:rsid w:val="006F4BC3"/>
    <w:rsid w:val="006F4D91"/>
    <w:rsid w:val="006F4DD2"/>
    <w:rsid w:val="006F4E7B"/>
    <w:rsid w:val="006F6CA6"/>
    <w:rsid w:val="006F7484"/>
    <w:rsid w:val="006F74A7"/>
    <w:rsid w:val="006F7549"/>
    <w:rsid w:val="006F7863"/>
    <w:rsid w:val="007002DF"/>
    <w:rsid w:val="00700B8B"/>
    <w:rsid w:val="00700F79"/>
    <w:rsid w:val="00701260"/>
    <w:rsid w:val="00701FE0"/>
    <w:rsid w:val="00702149"/>
    <w:rsid w:val="0070214C"/>
    <w:rsid w:val="00702A63"/>
    <w:rsid w:val="007034B4"/>
    <w:rsid w:val="00703628"/>
    <w:rsid w:val="007038A4"/>
    <w:rsid w:val="00703D22"/>
    <w:rsid w:val="00703DC9"/>
    <w:rsid w:val="007042D9"/>
    <w:rsid w:val="00704425"/>
    <w:rsid w:val="007048B1"/>
    <w:rsid w:val="00704B1C"/>
    <w:rsid w:val="00704B70"/>
    <w:rsid w:val="007054B5"/>
    <w:rsid w:val="0070605A"/>
    <w:rsid w:val="007061D8"/>
    <w:rsid w:val="00706F24"/>
    <w:rsid w:val="007073E4"/>
    <w:rsid w:val="00707DA1"/>
    <w:rsid w:val="00707E7F"/>
    <w:rsid w:val="007101E8"/>
    <w:rsid w:val="00710A87"/>
    <w:rsid w:val="00710C34"/>
    <w:rsid w:val="00711174"/>
    <w:rsid w:val="00711BE0"/>
    <w:rsid w:val="0071209C"/>
    <w:rsid w:val="00712755"/>
    <w:rsid w:val="007131A5"/>
    <w:rsid w:val="007131C8"/>
    <w:rsid w:val="007135C5"/>
    <w:rsid w:val="00713C81"/>
    <w:rsid w:val="00713DEC"/>
    <w:rsid w:val="00715720"/>
    <w:rsid w:val="0071599F"/>
    <w:rsid w:val="00716AFB"/>
    <w:rsid w:val="007177F4"/>
    <w:rsid w:val="00717818"/>
    <w:rsid w:val="00717EB3"/>
    <w:rsid w:val="0072134A"/>
    <w:rsid w:val="00721632"/>
    <w:rsid w:val="0072244C"/>
    <w:rsid w:val="00722C8E"/>
    <w:rsid w:val="007239AE"/>
    <w:rsid w:val="00723DC4"/>
    <w:rsid w:val="00723E5F"/>
    <w:rsid w:val="00723EBF"/>
    <w:rsid w:val="00724186"/>
    <w:rsid w:val="007245E1"/>
    <w:rsid w:val="00725031"/>
    <w:rsid w:val="00725A9B"/>
    <w:rsid w:val="00725AAF"/>
    <w:rsid w:val="00727776"/>
    <w:rsid w:val="007279CE"/>
    <w:rsid w:val="00730964"/>
    <w:rsid w:val="0073096F"/>
    <w:rsid w:val="00730DEC"/>
    <w:rsid w:val="00730E8B"/>
    <w:rsid w:val="00731050"/>
    <w:rsid w:val="007319C3"/>
    <w:rsid w:val="007334CA"/>
    <w:rsid w:val="007342A5"/>
    <w:rsid w:val="007343F1"/>
    <w:rsid w:val="00735152"/>
    <w:rsid w:val="00735264"/>
    <w:rsid w:val="00735487"/>
    <w:rsid w:val="007355A3"/>
    <w:rsid w:val="00735E50"/>
    <w:rsid w:val="00736B00"/>
    <w:rsid w:val="00736B83"/>
    <w:rsid w:val="00740E4E"/>
    <w:rsid w:val="0074109C"/>
    <w:rsid w:val="00741411"/>
    <w:rsid w:val="007426D9"/>
    <w:rsid w:val="00743BAB"/>
    <w:rsid w:val="0074458C"/>
    <w:rsid w:val="007446C2"/>
    <w:rsid w:val="00744A03"/>
    <w:rsid w:val="00744E3D"/>
    <w:rsid w:val="007451FB"/>
    <w:rsid w:val="007459FE"/>
    <w:rsid w:val="00745FAC"/>
    <w:rsid w:val="007466D7"/>
    <w:rsid w:val="00747463"/>
    <w:rsid w:val="00747551"/>
    <w:rsid w:val="00747A4D"/>
    <w:rsid w:val="00750678"/>
    <w:rsid w:val="00751E82"/>
    <w:rsid w:val="00752247"/>
    <w:rsid w:val="007529CE"/>
    <w:rsid w:val="00753AE0"/>
    <w:rsid w:val="007566A6"/>
    <w:rsid w:val="00757620"/>
    <w:rsid w:val="0076037D"/>
    <w:rsid w:val="00760538"/>
    <w:rsid w:val="007605A2"/>
    <w:rsid w:val="00760D92"/>
    <w:rsid w:val="0076122F"/>
    <w:rsid w:val="0076123A"/>
    <w:rsid w:val="007619F7"/>
    <w:rsid w:val="00762039"/>
    <w:rsid w:val="00762306"/>
    <w:rsid w:val="00762347"/>
    <w:rsid w:val="00762B3B"/>
    <w:rsid w:val="00763421"/>
    <w:rsid w:val="00763F69"/>
    <w:rsid w:val="00764840"/>
    <w:rsid w:val="00765A27"/>
    <w:rsid w:val="007660FF"/>
    <w:rsid w:val="007666DE"/>
    <w:rsid w:val="0076694A"/>
    <w:rsid w:val="00766CDA"/>
    <w:rsid w:val="00767610"/>
    <w:rsid w:val="00770623"/>
    <w:rsid w:val="0077073A"/>
    <w:rsid w:val="00770DC1"/>
    <w:rsid w:val="00770E6E"/>
    <w:rsid w:val="0077137A"/>
    <w:rsid w:val="00771E7B"/>
    <w:rsid w:val="00772549"/>
    <w:rsid w:val="007735A7"/>
    <w:rsid w:val="00773F45"/>
    <w:rsid w:val="00773F69"/>
    <w:rsid w:val="00773F9B"/>
    <w:rsid w:val="007740C1"/>
    <w:rsid w:val="00774A4F"/>
    <w:rsid w:val="00775877"/>
    <w:rsid w:val="00775C92"/>
    <w:rsid w:val="00775DB1"/>
    <w:rsid w:val="00777133"/>
    <w:rsid w:val="00777D2E"/>
    <w:rsid w:val="00780707"/>
    <w:rsid w:val="00780C19"/>
    <w:rsid w:val="0078116D"/>
    <w:rsid w:val="007813B1"/>
    <w:rsid w:val="007817A5"/>
    <w:rsid w:val="007825A4"/>
    <w:rsid w:val="007832AF"/>
    <w:rsid w:val="0078365D"/>
    <w:rsid w:val="0078395B"/>
    <w:rsid w:val="00784D25"/>
    <w:rsid w:val="0078547C"/>
    <w:rsid w:val="007855B5"/>
    <w:rsid w:val="00785E08"/>
    <w:rsid w:val="007869ED"/>
    <w:rsid w:val="00786A60"/>
    <w:rsid w:val="00786FBD"/>
    <w:rsid w:val="00787571"/>
    <w:rsid w:val="00787737"/>
    <w:rsid w:val="007902A4"/>
    <w:rsid w:val="007905BD"/>
    <w:rsid w:val="0079125E"/>
    <w:rsid w:val="0079169B"/>
    <w:rsid w:val="00792089"/>
    <w:rsid w:val="007923A3"/>
    <w:rsid w:val="00792928"/>
    <w:rsid w:val="00792C62"/>
    <w:rsid w:val="00793E69"/>
    <w:rsid w:val="00795686"/>
    <w:rsid w:val="007965CE"/>
    <w:rsid w:val="00796B7F"/>
    <w:rsid w:val="007A0094"/>
    <w:rsid w:val="007A0237"/>
    <w:rsid w:val="007A0353"/>
    <w:rsid w:val="007A0D51"/>
    <w:rsid w:val="007A0FA3"/>
    <w:rsid w:val="007A0FAB"/>
    <w:rsid w:val="007A1835"/>
    <w:rsid w:val="007A18A2"/>
    <w:rsid w:val="007A1FA8"/>
    <w:rsid w:val="007A2251"/>
    <w:rsid w:val="007A226C"/>
    <w:rsid w:val="007A2583"/>
    <w:rsid w:val="007A2BAC"/>
    <w:rsid w:val="007A3629"/>
    <w:rsid w:val="007A38D5"/>
    <w:rsid w:val="007A3F76"/>
    <w:rsid w:val="007A4570"/>
    <w:rsid w:val="007A4D87"/>
    <w:rsid w:val="007A5218"/>
    <w:rsid w:val="007A5978"/>
    <w:rsid w:val="007A613A"/>
    <w:rsid w:val="007A6EBF"/>
    <w:rsid w:val="007A741C"/>
    <w:rsid w:val="007A79FF"/>
    <w:rsid w:val="007B028F"/>
    <w:rsid w:val="007B05AE"/>
    <w:rsid w:val="007B0B27"/>
    <w:rsid w:val="007B119A"/>
    <w:rsid w:val="007B20D9"/>
    <w:rsid w:val="007B219E"/>
    <w:rsid w:val="007B2F52"/>
    <w:rsid w:val="007B2F7B"/>
    <w:rsid w:val="007B3943"/>
    <w:rsid w:val="007B3BA5"/>
    <w:rsid w:val="007B4B80"/>
    <w:rsid w:val="007B4BC4"/>
    <w:rsid w:val="007B4E52"/>
    <w:rsid w:val="007B4FEB"/>
    <w:rsid w:val="007B551F"/>
    <w:rsid w:val="007B55B6"/>
    <w:rsid w:val="007B737A"/>
    <w:rsid w:val="007B73EB"/>
    <w:rsid w:val="007B762B"/>
    <w:rsid w:val="007B7663"/>
    <w:rsid w:val="007B78B2"/>
    <w:rsid w:val="007B7939"/>
    <w:rsid w:val="007B796A"/>
    <w:rsid w:val="007C0287"/>
    <w:rsid w:val="007C04A3"/>
    <w:rsid w:val="007C0755"/>
    <w:rsid w:val="007C1454"/>
    <w:rsid w:val="007C16CB"/>
    <w:rsid w:val="007C1733"/>
    <w:rsid w:val="007C180E"/>
    <w:rsid w:val="007C19CF"/>
    <w:rsid w:val="007C1CA8"/>
    <w:rsid w:val="007C2929"/>
    <w:rsid w:val="007C2B63"/>
    <w:rsid w:val="007C2B66"/>
    <w:rsid w:val="007C2F7B"/>
    <w:rsid w:val="007C2FFF"/>
    <w:rsid w:val="007C3FB4"/>
    <w:rsid w:val="007C416A"/>
    <w:rsid w:val="007C4CC8"/>
    <w:rsid w:val="007C5114"/>
    <w:rsid w:val="007C51C9"/>
    <w:rsid w:val="007C56DA"/>
    <w:rsid w:val="007C5CED"/>
    <w:rsid w:val="007C63C2"/>
    <w:rsid w:val="007C69EE"/>
    <w:rsid w:val="007C7477"/>
    <w:rsid w:val="007C777A"/>
    <w:rsid w:val="007C7F2E"/>
    <w:rsid w:val="007D0579"/>
    <w:rsid w:val="007D066C"/>
    <w:rsid w:val="007D0709"/>
    <w:rsid w:val="007D0EF1"/>
    <w:rsid w:val="007D18D2"/>
    <w:rsid w:val="007D21C1"/>
    <w:rsid w:val="007D2BC1"/>
    <w:rsid w:val="007D2BFC"/>
    <w:rsid w:val="007D321F"/>
    <w:rsid w:val="007D340F"/>
    <w:rsid w:val="007D38BD"/>
    <w:rsid w:val="007D4BF2"/>
    <w:rsid w:val="007D5828"/>
    <w:rsid w:val="007D5BB1"/>
    <w:rsid w:val="007D5D76"/>
    <w:rsid w:val="007D6762"/>
    <w:rsid w:val="007D6891"/>
    <w:rsid w:val="007D6944"/>
    <w:rsid w:val="007D6F84"/>
    <w:rsid w:val="007D7325"/>
    <w:rsid w:val="007D7603"/>
    <w:rsid w:val="007D7682"/>
    <w:rsid w:val="007D7806"/>
    <w:rsid w:val="007E05E1"/>
    <w:rsid w:val="007E0795"/>
    <w:rsid w:val="007E0AE2"/>
    <w:rsid w:val="007E0F01"/>
    <w:rsid w:val="007E104C"/>
    <w:rsid w:val="007E19FD"/>
    <w:rsid w:val="007E236D"/>
    <w:rsid w:val="007E29E5"/>
    <w:rsid w:val="007E3E54"/>
    <w:rsid w:val="007E4DB9"/>
    <w:rsid w:val="007E5084"/>
    <w:rsid w:val="007E5442"/>
    <w:rsid w:val="007E56F4"/>
    <w:rsid w:val="007E6018"/>
    <w:rsid w:val="007E61ED"/>
    <w:rsid w:val="007E670E"/>
    <w:rsid w:val="007E6DA2"/>
    <w:rsid w:val="007E6E7F"/>
    <w:rsid w:val="007E70FB"/>
    <w:rsid w:val="007E74BE"/>
    <w:rsid w:val="007E75DD"/>
    <w:rsid w:val="007E75F4"/>
    <w:rsid w:val="007F035C"/>
    <w:rsid w:val="007F1866"/>
    <w:rsid w:val="007F1882"/>
    <w:rsid w:val="007F1E77"/>
    <w:rsid w:val="007F1FAC"/>
    <w:rsid w:val="007F20D2"/>
    <w:rsid w:val="007F2B65"/>
    <w:rsid w:val="007F2F06"/>
    <w:rsid w:val="007F3154"/>
    <w:rsid w:val="007F3279"/>
    <w:rsid w:val="007F3371"/>
    <w:rsid w:val="007F3545"/>
    <w:rsid w:val="007F47AF"/>
    <w:rsid w:val="007F4A7E"/>
    <w:rsid w:val="007F4E3E"/>
    <w:rsid w:val="007F5937"/>
    <w:rsid w:val="007F5C51"/>
    <w:rsid w:val="007F6067"/>
    <w:rsid w:val="007F6B2A"/>
    <w:rsid w:val="007F6D01"/>
    <w:rsid w:val="0080030B"/>
    <w:rsid w:val="00800687"/>
    <w:rsid w:val="00801BC0"/>
    <w:rsid w:val="008024A6"/>
    <w:rsid w:val="00802CAE"/>
    <w:rsid w:val="00803386"/>
    <w:rsid w:val="00803A2D"/>
    <w:rsid w:val="008042B5"/>
    <w:rsid w:val="008046BA"/>
    <w:rsid w:val="008050F2"/>
    <w:rsid w:val="00805244"/>
    <w:rsid w:val="00805346"/>
    <w:rsid w:val="00805601"/>
    <w:rsid w:val="0080644C"/>
    <w:rsid w:val="008066EE"/>
    <w:rsid w:val="00807195"/>
    <w:rsid w:val="0080768C"/>
    <w:rsid w:val="00807E9F"/>
    <w:rsid w:val="008102C8"/>
    <w:rsid w:val="0081068B"/>
    <w:rsid w:val="00810EBA"/>
    <w:rsid w:val="00811004"/>
    <w:rsid w:val="00811AFC"/>
    <w:rsid w:val="00812E24"/>
    <w:rsid w:val="00812EE5"/>
    <w:rsid w:val="00817018"/>
    <w:rsid w:val="00817818"/>
    <w:rsid w:val="00820600"/>
    <w:rsid w:val="00820799"/>
    <w:rsid w:val="00820E74"/>
    <w:rsid w:val="008214E7"/>
    <w:rsid w:val="00821CE9"/>
    <w:rsid w:val="008221AE"/>
    <w:rsid w:val="0082249F"/>
    <w:rsid w:val="00822724"/>
    <w:rsid w:val="008227A1"/>
    <w:rsid w:val="008227BB"/>
    <w:rsid w:val="00822F4A"/>
    <w:rsid w:val="008237B8"/>
    <w:rsid w:val="00824032"/>
    <w:rsid w:val="008245D2"/>
    <w:rsid w:val="008246C4"/>
    <w:rsid w:val="00825407"/>
    <w:rsid w:val="00826FD1"/>
    <w:rsid w:val="008278C4"/>
    <w:rsid w:val="00827AAE"/>
    <w:rsid w:val="00827FAB"/>
    <w:rsid w:val="00831173"/>
    <w:rsid w:val="00831562"/>
    <w:rsid w:val="00831B29"/>
    <w:rsid w:val="00831EC4"/>
    <w:rsid w:val="00832242"/>
    <w:rsid w:val="00832353"/>
    <w:rsid w:val="008328F1"/>
    <w:rsid w:val="00832B6B"/>
    <w:rsid w:val="0083327A"/>
    <w:rsid w:val="00833459"/>
    <w:rsid w:val="008340B2"/>
    <w:rsid w:val="008348DD"/>
    <w:rsid w:val="00834BD6"/>
    <w:rsid w:val="0083537A"/>
    <w:rsid w:val="0083569D"/>
    <w:rsid w:val="00835D73"/>
    <w:rsid w:val="00836A9A"/>
    <w:rsid w:val="00836C92"/>
    <w:rsid w:val="0083735E"/>
    <w:rsid w:val="00837C76"/>
    <w:rsid w:val="008402D9"/>
    <w:rsid w:val="00840862"/>
    <w:rsid w:val="00840DAA"/>
    <w:rsid w:val="0084154D"/>
    <w:rsid w:val="008415FC"/>
    <w:rsid w:val="008418F8"/>
    <w:rsid w:val="008423EB"/>
    <w:rsid w:val="008427F5"/>
    <w:rsid w:val="00842B67"/>
    <w:rsid w:val="0084428C"/>
    <w:rsid w:val="00844661"/>
    <w:rsid w:val="00844F04"/>
    <w:rsid w:val="00845285"/>
    <w:rsid w:val="00845754"/>
    <w:rsid w:val="00845AB7"/>
    <w:rsid w:val="00845BDF"/>
    <w:rsid w:val="00845E1B"/>
    <w:rsid w:val="008460FB"/>
    <w:rsid w:val="008466D7"/>
    <w:rsid w:val="00846D0C"/>
    <w:rsid w:val="00847510"/>
    <w:rsid w:val="0085098C"/>
    <w:rsid w:val="0085168A"/>
    <w:rsid w:val="00851B2A"/>
    <w:rsid w:val="00851E63"/>
    <w:rsid w:val="00852504"/>
    <w:rsid w:val="008526EB"/>
    <w:rsid w:val="00852E79"/>
    <w:rsid w:val="008547E6"/>
    <w:rsid w:val="00854FC6"/>
    <w:rsid w:val="008550DF"/>
    <w:rsid w:val="00855657"/>
    <w:rsid w:val="008558FC"/>
    <w:rsid w:val="0085597A"/>
    <w:rsid w:val="00856419"/>
    <w:rsid w:val="0085729D"/>
    <w:rsid w:val="00857D3B"/>
    <w:rsid w:val="00860AF6"/>
    <w:rsid w:val="00860EAB"/>
    <w:rsid w:val="00860F8A"/>
    <w:rsid w:val="00861285"/>
    <w:rsid w:val="0086139A"/>
    <w:rsid w:val="00862306"/>
    <w:rsid w:val="0086265E"/>
    <w:rsid w:val="008626B8"/>
    <w:rsid w:val="0086275B"/>
    <w:rsid w:val="00862DDA"/>
    <w:rsid w:val="00863384"/>
    <w:rsid w:val="00863947"/>
    <w:rsid w:val="00864207"/>
    <w:rsid w:val="00864603"/>
    <w:rsid w:val="0086469D"/>
    <w:rsid w:val="008647E4"/>
    <w:rsid w:val="00865AA9"/>
    <w:rsid w:val="00865D68"/>
    <w:rsid w:val="008665CC"/>
    <w:rsid w:val="00866749"/>
    <w:rsid w:val="0086674E"/>
    <w:rsid w:val="00867998"/>
    <w:rsid w:val="00867A7C"/>
    <w:rsid w:val="008707B0"/>
    <w:rsid w:val="0087127D"/>
    <w:rsid w:val="008712E1"/>
    <w:rsid w:val="00871B82"/>
    <w:rsid w:val="008721FB"/>
    <w:rsid w:val="008724AF"/>
    <w:rsid w:val="008724F6"/>
    <w:rsid w:val="00873608"/>
    <w:rsid w:val="0087545C"/>
    <w:rsid w:val="0087662D"/>
    <w:rsid w:val="0087690A"/>
    <w:rsid w:val="00876E52"/>
    <w:rsid w:val="0087748C"/>
    <w:rsid w:val="008777EA"/>
    <w:rsid w:val="00877B27"/>
    <w:rsid w:val="00880064"/>
    <w:rsid w:val="008807E4"/>
    <w:rsid w:val="00880F31"/>
    <w:rsid w:val="00880FBF"/>
    <w:rsid w:val="008812E9"/>
    <w:rsid w:val="00881528"/>
    <w:rsid w:val="008816FC"/>
    <w:rsid w:val="00882147"/>
    <w:rsid w:val="008824C9"/>
    <w:rsid w:val="008827B2"/>
    <w:rsid w:val="008828E4"/>
    <w:rsid w:val="0088321E"/>
    <w:rsid w:val="00883728"/>
    <w:rsid w:val="00883779"/>
    <w:rsid w:val="00884A03"/>
    <w:rsid w:val="008853E5"/>
    <w:rsid w:val="00885434"/>
    <w:rsid w:val="008855FA"/>
    <w:rsid w:val="0088617C"/>
    <w:rsid w:val="00887068"/>
    <w:rsid w:val="00887AA2"/>
    <w:rsid w:val="008903D9"/>
    <w:rsid w:val="00890A05"/>
    <w:rsid w:val="00890FB9"/>
    <w:rsid w:val="0089115C"/>
    <w:rsid w:val="0089118E"/>
    <w:rsid w:val="00891F38"/>
    <w:rsid w:val="008927F4"/>
    <w:rsid w:val="00892CB9"/>
    <w:rsid w:val="00892DCD"/>
    <w:rsid w:val="00893465"/>
    <w:rsid w:val="00893708"/>
    <w:rsid w:val="00894694"/>
    <w:rsid w:val="0089523C"/>
    <w:rsid w:val="0089568C"/>
    <w:rsid w:val="00895923"/>
    <w:rsid w:val="00895A58"/>
    <w:rsid w:val="00895E41"/>
    <w:rsid w:val="008961F6"/>
    <w:rsid w:val="0089623E"/>
    <w:rsid w:val="008968CF"/>
    <w:rsid w:val="00896E86"/>
    <w:rsid w:val="00897516"/>
    <w:rsid w:val="0089756E"/>
    <w:rsid w:val="008A0357"/>
    <w:rsid w:val="008A0B35"/>
    <w:rsid w:val="008A30D3"/>
    <w:rsid w:val="008A4521"/>
    <w:rsid w:val="008A4654"/>
    <w:rsid w:val="008A4CCA"/>
    <w:rsid w:val="008A4D66"/>
    <w:rsid w:val="008A521C"/>
    <w:rsid w:val="008A559C"/>
    <w:rsid w:val="008A55FF"/>
    <w:rsid w:val="008A5F67"/>
    <w:rsid w:val="008A695F"/>
    <w:rsid w:val="008A6C36"/>
    <w:rsid w:val="008A6D47"/>
    <w:rsid w:val="008A7998"/>
    <w:rsid w:val="008A7D89"/>
    <w:rsid w:val="008B05FD"/>
    <w:rsid w:val="008B0A85"/>
    <w:rsid w:val="008B0C82"/>
    <w:rsid w:val="008B0FA6"/>
    <w:rsid w:val="008B1170"/>
    <w:rsid w:val="008B19BC"/>
    <w:rsid w:val="008B1CCC"/>
    <w:rsid w:val="008B2AAE"/>
    <w:rsid w:val="008B3345"/>
    <w:rsid w:val="008B34C5"/>
    <w:rsid w:val="008B3DA3"/>
    <w:rsid w:val="008B4712"/>
    <w:rsid w:val="008B48CC"/>
    <w:rsid w:val="008B51F1"/>
    <w:rsid w:val="008B6183"/>
    <w:rsid w:val="008B7172"/>
    <w:rsid w:val="008C0254"/>
    <w:rsid w:val="008C077D"/>
    <w:rsid w:val="008C098A"/>
    <w:rsid w:val="008C15E9"/>
    <w:rsid w:val="008C21F2"/>
    <w:rsid w:val="008C2234"/>
    <w:rsid w:val="008C2462"/>
    <w:rsid w:val="008C284C"/>
    <w:rsid w:val="008C2A39"/>
    <w:rsid w:val="008C3D94"/>
    <w:rsid w:val="008C3F76"/>
    <w:rsid w:val="008C413A"/>
    <w:rsid w:val="008C4389"/>
    <w:rsid w:val="008C46EE"/>
    <w:rsid w:val="008C4A49"/>
    <w:rsid w:val="008C5DF1"/>
    <w:rsid w:val="008C6193"/>
    <w:rsid w:val="008C6E65"/>
    <w:rsid w:val="008C751A"/>
    <w:rsid w:val="008C7804"/>
    <w:rsid w:val="008C7887"/>
    <w:rsid w:val="008C7A9E"/>
    <w:rsid w:val="008C7BC5"/>
    <w:rsid w:val="008C7E86"/>
    <w:rsid w:val="008D0230"/>
    <w:rsid w:val="008D0E6A"/>
    <w:rsid w:val="008D0ECC"/>
    <w:rsid w:val="008D1604"/>
    <w:rsid w:val="008D1801"/>
    <w:rsid w:val="008D1E8B"/>
    <w:rsid w:val="008D217C"/>
    <w:rsid w:val="008D2208"/>
    <w:rsid w:val="008D264E"/>
    <w:rsid w:val="008D2705"/>
    <w:rsid w:val="008D3674"/>
    <w:rsid w:val="008D4314"/>
    <w:rsid w:val="008D4A2B"/>
    <w:rsid w:val="008D6445"/>
    <w:rsid w:val="008D697C"/>
    <w:rsid w:val="008D79C8"/>
    <w:rsid w:val="008E011C"/>
    <w:rsid w:val="008E02A3"/>
    <w:rsid w:val="008E02BF"/>
    <w:rsid w:val="008E0346"/>
    <w:rsid w:val="008E0FC2"/>
    <w:rsid w:val="008E1419"/>
    <w:rsid w:val="008E14C7"/>
    <w:rsid w:val="008E18C5"/>
    <w:rsid w:val="008E1E91"/>
    <w:rsid w:val="008E212B"/>
    <w:rsid w:val="008E35A9"/>
    <w:rsid w:val="008E38D6"/>
    <w:rsid w:val="008E3C45"/>
    <w:rsid w:val="008E49EB"/>
    <w:rsid w:val="008E50C6"/>
    <w:rsid w:val="008E5186"/>
    <w:rsid w:val="008E585F"/>
    <w:rsid w:val="008E5B77"/>
    <w:rsid w:val="008E6A8A"/>
    <w:rsid w:val="008E71E4"/>
    <w:rsid w:val="008E771A"/>
    <w:rsid w:val="008E7A1B"/>
    <w:rsid w:val="008F0162"/>
    <w:rsid w:val="008F0615"/>
    <w:rsid w:val="008F0859"/>
    <w:rsid w:val="008F0E5F"/>
    <w:rsid w:val="008F116B"/>
    <w:rsid w:val="008F1514"/>
    <w:rsid w:val="008F21FA"/>
    <w:rsid w:val="008F2FD6"/>
    <w:rsid w:val="008F4661"/>
    <w:rsid w:val="008F58E9"/>
    <w:rsid w:val="008F639E"/>
    <w:rsid w:val="008F65B0"/>
    <w:rsid w:val="008F6772"/>
    <w:rsid w:val="008F69C6"/>
    <w:rsid w:val="008F6E52"/>
    <w:rsid w:val="008F7105"/>
    <w:rsid w:val="008F78D0"/>
    <w:rsid w:val="008F7A34"/>
    <w:rsid w:val="00900210"/>
    <w:rsid w:val="0090050E"/>
    <w:rsid w:val="0090084B"/>
    <w:rsid w:val="0090088B"/>
    <w:rsid w:val="0090158B"/>
    <w:rsid w:val="00901611"/>
    <w:rsid w:val="009022E9"/>
    <w:rsid w:val="009023F6"/>
    <w:rsid w:val="009025E5"/>
    <w:rsid w:val="00903180"/>
    <w:rsid w:val="00904690"/>
    <w:rsid w:val="0090549F"/>
    <w:rsid w:val="00905A86"/>
    <w:rsid w:val="00905C3B"/>
    <w:rsid w:val="00905EC5"/>
    <w:rsid w:val="009062D0"/>
    <w:rsid w:val="009064B4"/>
    <w:rsid w:val="009101E6"/>
    <w:rsid w:val="00911CBC"/>
    <w:rsid w:val="009125DD"/>
    <w:rsid w:val="0091287E"/>
    <w:rsid w:val="00913315"/>
    <w:rsid w:val="009134FB"/>
    <w:rsid w:val="00913665"/>
    <w:rsid w:val="0091367B"/>
    <w:rsid w:val="00913E49"/>
    <w:rsid w:val="0091407B"/>
    <w:rsid w:val="0091497B"/>
    <w:rsid w:val="00914B37"/>
    <w:rsid w:val="00914D16"/>
    <w:rsid w:val="00914D68"/>
    <w:rsid w:val="009155A4"/>
    <w:rsid w:val="00915762"/>
    <w:rsid w:val="00915A10"/>
    <w:rsid w:val="00916B26"/>
    <w:rsid w:val="00916B86"/>
    <w:rsid w:val="0091731B"/>
    <w:rsid w:val="00917FCF"/>
    <w:rsid w:val="009204D3"/>
    <w:rsid w:val="00920844"/>
    <w:rsid w:val="0092147B"/>
    <w:rsid w:val="00921728"/>
    <w:rsid w:val="00921B8C"/>
    <w:rsid w:val="00921D94"/>
    <w:rsid w:val="009222FB"/>
    <w:rsid w:val="00922545"/>
    <w:rsid w:val="00922B24"/>
    <w:rsid w:val="00922C17"/>
    <w:rsid w:val="00922F68"/>
    <w:rsid w:val="00923D64"/>
    <w:rsid w:val="00923E7F"/>
    <w:rsid w:val="00924CCC"/>
    <w:rsid w:val="0092504B"/>
    <w:rsid w:val="00925D41"/>
    <w:rsid w:val="0092612B"/>
    <w:rsid w:val="0092625D"/>
    <w:rsid w:val="00926459"/>
    <w:rsid w:val="00926768"/>
    <w:rsid w:val="0092696B"/>
    <w:rsid w:val="00926E7E"/>
    <w:rsid w:val="0092727E"/>
    <w:rsid w:val="00927FC3"/>
    <w:rsid w:val="00930354"/>
    <w:rsid w:val="00930A8B"/>
    <w:rsid w:val="009312A7"/>
    <w:rsid w:val="00931838"/>
    <w:rsid w:val="00931A6F"/>
    <w:rsid w:val="00931CEF"/>
    <w:rsid w:val="009322C7"/>
    <w:rsid w:val="0093293F"/>
    <w:rsid w:val="00932F72"/>
    <w:rsid w:val="00932FBB"/>
    <w:rsid w:val="00933242"/>
    <w:rsid w:val="00933842"/>
    <w:rsid w:val="00933885"/>
    <w:rsid w:val="00933DD4"/>
    <w:rsid w:val="0093419C"/>
    <w:rsid w:val="00934DC0"/>
    <w:rsid w:val="009354DF"/>
    <w:rsid w:val="009358D7"/>
    <w:rsid w:val="00935F57"/>
    <w:rsid w:val="00935FDE"/>
    <w:rsid w:val="00937019"/>
    <w:rsid w:val="009373B0"/>
    <w:rsid w:val="009403F8"/>
    <w:rsid w:val="00941115"/>
    <w:rsid w:val="00941478"/>
    <w:rsid w:val="0094162A"/>
    <w:rsid w:val="00941A76"/>
    <w:rsid w:val="0094203C"/>
    <w:rsid w:val="009422C6"/>
    <w:rsid w:val="00943600"/>
    <w:rsid w:val="009438F9"/>
    <w:rsid w:val="0094397C"/>
    <w:rsid w:val="00943E78"/>
    <w:rsid w:val="0094429D"/>
    <w:rsid w:val="00944C51"/>
    <w:rsid w:val="00944E1A"/>
    <w:rsid w:val="009457D2"/>
    <w:rsid w:val="0094580E"/>
    <w:rsid w:val="00946972"/>
    <w:rsid w:val="00946F5C"/>
    <w:rsid w:val="00947A6A"/>
    <w:rsid w:val="00947AF6"/>
    <w:rsid w:val="0095070B"/>
    <w:rsid w:val="00951074"/>
    <w:rsid w:val="00951A26"/>
    <w:rsid w:val="00951E6D"/>
    <w:rsid w:val="00952331"/>
    <w:rsid w:val="009523B5"/>
    <w:rsid w:val="00953BB8"/>
    <w:rsid w:val="00953F92"/>
    <w:rsid w:val="00954237"/>
    <w:rsid w:val="0095489F"/>
    <w:rsid w:val="009549F5"/>
    <w:rsid w:val="00954BA3"/>
    <w:rsid w:val="00954FD1"/>
    <w:rsid w:val="009554CE"/>
    <w:rsid w:val="00955FCD"/>
    <w:rsid w:val="009561F9"/>
    <w:rsid w:val="00956E5F"/>
    <w:rsid w:val="00957EB4"/>
    <w:rsid w:val="00957F01"/>
    <w:rsid w:val="009604F7"/>
    <w:rsid w:val="009613F8"/>
    <w:rsid w:val="00961473"/>
    <w:rsid w:val="0096149C"/>
    <w:rsid w:val="00961E6F"/>
    <w:rsid w:val="00961EB8"/>
    <w:rsid w:val="009622AA"/>
    <w:rsid w:val="00962680"/>
    <w:rsid w:val="009629A2"/>
    <w:rsid w:val="00963029"/>
    <w:rsid w:val="00963D4E"/>
    <w:rsid w:val="00964017"/>
    <w:rsid w:val="00964AB5"/>
    <w:rsid w:val="00964EA3"/>
    <w:rsid w:val="00965711"/>
    <w:rsid w:val="00965750"/>
    <w:rsid w:val="00966004"/>
    <w:rsid w:val="009671B4"/>
    <w:rsid w:val="009704B5"/>
    <w:rsid w:val="009704D9"/>
    <w:rsid w:val="00970815"/>
    <w:rsid w:val="009713AD"/>
    <w:rsid w:val="009714BB"/>
    <w:rsid w:val="00971889"/>
    <w:rsid w:val="009719DD"/>
    <w:rsid w:val="00971A2F"/>
    <w:rsid w:val="00972351"/>
    <w:rsid w:val="00972D94"/>
    <w:rsid w:val="00973657"/>
    <w:rsid w:val="009740B3"/>
    <w:rsid w:val="00974895"/>
    <w:rsid w:val="009748FA"/>
    <w:rsid w:val="00974DD2"/>
    <w:rsid w:val="00974E04"/>
    <w:rsid w:val="00976DD3"/>
    <w:rsid w:val="009772AD"/>
    <w:rsid w:val="00977886"/>
    <w:rsid w:val="00977C7B"/>
    <w:rsid w:val="00977EBA"/>
    <w:rsid w:val="00981201"/>
    <w:rsid w:val="00981220"/>
    <w:rsid w:val="0098161A"/>
    <w:rsid w:val="00981758"/>
    <w:rsid w:val="009819EA"/>
    <w:rsid w:val="009833F3"/>
    <w:rsid w:val="0098348D"/>
    <w:rsid w:val="00983AE4"/>
    <w:rsid w:val="00984BB8"/>
    <w:rsid w:val="00984F03"/>
    <w:rsid w:val="00985175"/>
    <w:rsid w:val="00985906"/>
    <w:rsid w:val="00985908"/>
    <w:rsid w:val="00985A2A"/>
    <w:rsid w:val="00985B52"/>
    <w:rsid w:val="00986123"/>
    <w:rsid w:val="00987681"/>
    <w:rsid w:val="00987BDA"/>
    <w:rsid w:val="00987F47"/>
    <w:rsid w:val="00987FFC"/>
    <w:rsid w:val="009903B2"/>
    <w:rsid w:val="00990C9A"/>
    <w:rsid w:val="00990D43"/>
    <w:rsid w:val="009910D6"/>
    <w:rsid w:val="00991A90"/>
    <w:rsid w:val="0099216F"/>
    <w:rsid w:val="0099231C"/>
    <w:rsid w:val="00992917"/>
    <w:rsid w:val="00994121"/>
    <w:rsid w:val="009941F6"/>
    <w:rsid w:val="00994FA4"/>
    <w:rsid w:val="009950E0"/>
    <w:rsid w:val="009950EF"/>
    <w:rsid w:val="00995CA5"/>
    <w:rsid w:val="00995F2A"/>
    <w:rsid w:val="0099730A"/>
    <w:rsid w:val="009976CE"/>
    <w:rsid w:val="009A010D"/>
    <w:rsid w:val="009A0124"/>
    <w:rsid w:val="009A022D"/>
    <w:rsid w:val="009A07FA"/>
    <w:rsid w:val="009A0A34"/>
    <w:rsid w:val="009A0BF6"/>
    <w:rsid w:val="009A1362"/>
    <w:rsid w:val="009A1650"/>
    <w:rsid w:val="009A1D80"/>
    <w:rsid w:val="009A27BB"/>
    <w:rsid w:val="009A27E8"/>
    <w:rsid w:val="009A28EB"/>
    <w:rsid w:val="009A2F23"/>
    <w:rsid w:val="009A34C5"/>
    <w:rsid w:val="009A3D29"/>
    <w:rsid w:val="009A4211"/>
    <w:rsid w:val="009A43A3"/>
    <w:rsid w:val="009A4909"/>
    <w:rsid w:val="009A491D"/>
    <w:rsid w:val="009A49B3"/>
    <w:rsid w:val="009A5713"/>
    <w:rsid w:val="009A5B6E"/>
    <w:rsid w:val="009A6123"/>
    <w:rsid w:val="009A66E6"/>
    <w:rsid w:val="009A6C91"/>
    <w:rsid w:val="009A721E"/>
    <w:rsid w:val="009A7695"/>
    <w:rsid w:val="009A774A"/>
    <w:rsid w:val="009A7B22"/>
    <w:rsid w:val="009A7B83"/>
    <w:rsid w:val="009A7C30"/>
    <w:rsid w:val="009B0089"/>
    <w:rsid w:val="009B01D9"/>
    <w:rsid w:val="009B0238"/>
    <w:rsid w:val="009B0FAF"/>
    <w:rsid w:val="009B3585"/>
    <w:rsid w:val="009B3759"/>
    <w:rsid w:val="009B3D91"/>
    <w:rsid w:val="009B3E48"/>
    <w:rsid w:val="009B3F62"/>
    <w:rsid w:val="009B4336"/>
    <w:rsid w:val="009B452B"/>
    <w:rsid w:val="009B4983"/>
    <w:rsid w:val="009B50C8"/>
    <w:rsid w:val="009B5716"/>
    <w:rsid w:val="009B601E"/>
    <w:rsid w:val="009B7570"/>
    <w:rsid w:val="009B7767"/>
    <w:rsid w:val="009B77D6"/>
    <w:rsid w:val="009C0439"/>
    <w:rsid w:val="009C045D"/>
    <w:rsid w:val="009C143C"/>
    <w:rsid w:val="009C1AD3"/>
    <w:rsid w:val="009C23E6"/>
    <w:rsid w:val="009C25F1"/>
    <w:rsid w:val="009C27AF"/>
    <w:rsid w:val="009C30E6"/>
    <w:rsid w:val="009C31F4"/>
    <w:rsid w:val="009C328E"/>
    <w:rsid w:val="009C3D65"/>
    <w:rsid w:val="009C4D31"/>
    <w:rsid w:val="009C4EA5"/>
    <w:rsid w:val="009C56D9"/>
    <w:rsid w:val="009C668D"/>
    <w:rsid w:val="009C6E30"/>
    <w:rsid w:val="009C6F19"/>
    <w:rsid w:val="009C763E"/>
    <w:rsid w:val="009C7655"/>
    <w:rsid w:val="009C7DE1"/>
    <w:rsid w:val="009D0336"/>
    <w:rsid w:val="009D07A3"/>
    <w:rsid w:val="009D0B1D"/>
    <w:rsid w:val="009D111F"/>
    <w:rsid w:val="009D1741"/>
    <w:rsid w:val="009D1B25"/>
    <w:rsid w:val="009D4225"/>
    <w:rsid w:val="009D439F"/>
    <w:rsid w:val="009D6A7D"/>
    <w:rsid w:val="009D6E1F"/>
    <w:rsid w:val="009E1340"/>
    <w:rsid w:val="009E13B8"/>
    <w:rsid w:val="009E1C88"/>
    <w:rsid w:val="009E2076"/>
    <w:rsid w:val="009E20DE"/>
    <w:rsid w:val="009E2C4E"/>
    <w:rsid w:val="009E3639"/>
    <w:rsid w:val="009E370E"/>
    <w:rsid w:val="009E4835"/>
    <w:rsid w:val="009E4A3A"/>
    <w:rsid w:val="009E4F20"/>
    <w:rsid w:val="009E546A"/>
    <w:rsid w:val="009E64D4"/>
    <w:rsid w:val="009E6C34"/>
    <w:rsid w:val="009E70A8"/>
    <w:rsid w:val="009E786D"/>
    <w:rsid w:val="009E7B39"/>
    <w:rsid w:val="009E7F97"/>
    <w:rsid w:val="009F00C6"/>
    <w:rsid w:val="009F03FD"/>
    <w:rsid w:val="009F1E26"/>
    <w:rsid w:val="009F2195"/>
    <w:rsid w:val="009F233C"/>
    <w:rsid w:val="009F2EDE"/>
    <w:rsid w:val="009F2F26"/>
    <w:rsid w:val="009F484B"/>
    <w:rsid w:val="009F4935"/>
    <w:rsid w:val="009F4F76"/>
    <w:rsid w:val="009F52A7"/>
    <w:rsid w:val="009F5304"/>
    <w:rsid w:val="009F5890"/>
    <w:rsid w:val="009F5D5D"/>
    <w:rsid w:val="009F67C5"/>
    <w:rsid w:val="009F68C2"/>
    <w:rsid w:val="009F6C23"/>
    <w:rsid w:val="009F6D95"/>
    <w:rsid w:val="009F6F13"/>
    <w:rsid w:val="00A00075"/>
    <w:rsid w:val="00A00FC2"/>
    <w:rsid w:val="00A014E2"/>
    <w:rsid w:val="00A017EA"/>
    <w:rsid w:val="00A01BA6"/>
    <w:rsid w:val="00A01D7E"/>
    <w:rsid w:val="00A01F8C"/>
    <w:rsid w:val="00A02025"/>
    <w:rsid w:val="00A021F7"/>
    <w:rsid w:val="00A024D3"/>
    <w:rsid w:val="00A0270A"/>
    <w:rsid w:val="00A02968"/>
    <w:rsid w:val="00A02CA4"/>
    <w:rsid w:val="00A046A3"/>
    <w:rsid w:val="00A0574B"/>
    <w:rsid w:val="00A05AB0"/>
    <w:rsid w:val="00A06A21"/>
    <w:rsid w:val="00A06BE4"/>
    <w:rsid w:val="00A06CCC"/>
    <w:rsid w:val="00A079FE"/>
    <w:rsid w:val="00A07E8A"/>
    <w:rsid w:val="00A100CC"/>
    <w:rsid w:val="00A11607"/>
    <w:rsid w:val="00A11703"/>
    <w:rsid w:val="00A117E8"/>
    <w:rsid w:val="00A11D0B"/>
    <w:rsid w:val="00A129E2"/>
    <w:rsid w:val="00A12EF1"/>
    <w:rsid w:val="00A1334C"/>
    <w:rsid w:val="00A13955"/>
    <w:rsid w:val="00A13D06"/>
    <w:rsid w:val="00A13E0D"/>
    <w:rsid w:val="00A145F0"/>
    <w:rsid w:val="00A163A0"/>
    <w:rsid w:val="00A16EEC"/>
    <w:rsid w:val="00A17725"/>
    <w:rsid w:val="00A17866"/>
    <w:rsid w:val="00A206DC"/>
    <w:rsid w:val="00A20995"/>
    <w:rsid w:val="00A21393"/>
    <w:rsid w:val="00A218EF"/>
    <w:rsid w:val="00A2195F"/>
    <w:rsid w:val="00A21CCC"/>
    <w:rsid w:val="00A21FED"/>
    <w:rsid w:val="00A2232B"/>
    <w:rsid w:val="00A23926"/>
    <w:rsid w:val="00A23A6A"/>
    <w:rsid w:val="00A2425F"/>
    <w:rsid w:val="00A24EA8"/>
    <w:rsid w:val="00A25E3D"/>
    <w:rsid w:val="00A267E8"/>
    <w:rsid w:val="00A30747"/>
    <w:rsid w:val="00A30CDB"/>
    <w:rsid w:val="00A311FB"/>
    <w:rsid w:val="00A31E5F"/>
    <w:rsid w:val="00A33251"/>
    <w:rsid w:val="00A33895"/>
    <w:rsid w:val="00A33B88"/>
    <w:rsid w:val="00A346DF"/>
    <w:rsid w:val="00A34B58"/>
    <w:rsid w:val="00A34ECA"/>
    <w:rsid w:val="00A35860"/>
    <w:rsid w:val="00A35895"/>
    <w:rsid w:val="00A35C43"/>
    <w:rsid w:val="00A35D8A"/>
    <w:rsid w:val="00A36FC5"/>
    <w:rsid w:val="00A37276"/>
    <w:rsid w:val="00A401CA"/>
    <w:rsid w:val="00A40239"/>
    <w:rsid w:val="00A419EB"/>
    <w:rsid w:val="00A41C43"/>
    <w:rsid w:val="00A420B2"/>
    <w:rsid w:val="00A43494"/>
    <w:rsid w:val="00A43834"/>
    <w:rsid w:val="00A43C3C"/>
    <w:rsid w:val="00A445FC"/>
    <w:rsid w:val="00A44A35"/>
    <w:rsid w:val="00A45532"/>
    <w:rsid w:val="00A45A78"/>
    <w:rsid w:val="00A45E8C"/>
    <w:rsid w:val="00A4604C"/>
    <w:rsid w:val="00A468F4"/>
    <w:rsid w:val="00A47100"/>
    <w:rsid w:val="00A472CA"/>
    <w:rsid w:val="00A473FF"/>
    <w:rsid w:val="00A47F8A"/>
    <w:rsid w:val="00A503BD"/>
    <w:rsid w:val="00A50D16"/>
    <w:rsid w:val="00A5103A"/>
    <w:rsid w:val="00A51583"/>
    <w:rsid w:val="00A515D3"/>
    <w:rsid w:val="00A51B5E"/>
    <w:rsid w:val="00A51D0F"/>
    <w:rsid w:val="00A51E1B"/>
    <w:rsid w:val="00A52049"/>
    <w:rsid w:val="00A527C1"/>
    <w:rsid w:val="00A529A1"/>
    <w:rsid w:val="00A531C7"/>
    <w:rsid w:val="00A53621"/>
    <w:rsid w:val="00A53899"/>
    <w:rsid w:val="00A53A64"/>
    <w:rsid w:val="00A53F8D"/>
    <w:rsid w:val="00A54505"/>
    <w:rsid w:val="00A55D69"/>
    <w:rsid w:val="00A5616E"/>
    <w:rsid w:val="00A5672E"/>
    <w:rsid w:val="00A5696D"/>
    <w:rsid w:val="00A56C03"/>
    <w:rsid w:val="00A579C7"/>
    <w:rsid w:val="00A579E4"/>
    <w:rsid w:val="00A61A04"/>
    <w:rsid w:val="00A61CAF"/>
    <w:rsid w:val="00A62E8D"/>
    <w:rsid w:val="00A63907"/>
    <w:rsid w:val="00A63D7F"/>
    <w:rsid w:val="00A63F85"/>
    <w:rsid w:val="00A64018"/>
    <w:rsid w:val="00A644C0"/>
    <w:rsid w:val="00A645B7"/>
    <w:rsid w:val="00A64DD5"/>
    <w:rsid w:val="00A64DF4"/>
    <w:rsid w:val="00A64E1F"/>
    <w:rsid w:val="00A65AB7"/>
    <w:rsid w:val="00A65B5F"/>
    <w:rsid w:val="00A65FE3"/>
    <w:rsid w:val="00A663E5"/>
    <w:rsid w:val="00A66AEA"/>
    <w:rsid w:val="00A66AEC"/>
    <w:rsid w:val="00A66F47"/>
    <w:rsid w:val="00A67344"/>
    <w:rsid w:val="00A67362"/>
    <w:rsid w:val="00A677A9"/>
    <w:rsid w:val="00A67872"/>
    <w:rsid w:val="00A678C3"/>
    <w:rsid w:val="00A67B7D"/>
    <w:rsid w:val="00A7016E"/>
    <w:rsid w:val="00A7043C"/>
    <w:rsid w:val="00A712C4"/>
    <w:rsid w:val="00A714F9"/>
    <w:rsid w:val="00A71D18"/>
    <w:rsid w:val="00A72CB2"/>
    <w:rsid w:val="00A732AB"/>
    <w:rsid w:val="00A74AD5"/>
    <w:rsid w:val="00A74E11"/>
    <w:rsid w:val="00A75BA7"/>
    <w:rsid w:val="00A75C7F"/>
    <w:rsid w:val="00A75CB4"/>
    <w:rsid w:val="00A77CCD"/>
    <w:rsid w:val="00A805D4"/>
    <w:rsid w:val="00A8090D"/>
    <w:rsid w:val="00A811D9"/>
    <w:rsid w:val="00A81235"/>
    <w:rsid w:val="00A814B1"/>
    <w:rsid w:val="00A815F2"/>
    <w:rsid w:val="00A8183A"/>
    <w:rsid w:val="00A829EC"/>
    <w:rsid w:val="00A82A54"/>
    <w:rsid w:val="00A82B8A"/>
    <w:rsid w:val="00A82DE3"/>
    <w:rsid w:val="00A833D0"/>
    <w:rsid w:val="00A83A0F"/>
    <w:rsid w:val="00A850F3"/>
    <w:rsid w:val="00A8579A"/>
    <w:rsid w:val="00A85FA9"/>
    <w:rsid w:val="00A866FF"/>
    <w:rsid w:val="00A867AF"/>
    <w:rsid w:val="00A86CDC"/>
    <w:rsid w:val="00A87971"/>
    <w:rsid w:val="00A87FC9"/>
    <w:rsid w:val="00A90213"/>
    <w:rsid w:val="00A9022B"/>
    <w:rsid w:val="00A90802"/>
    <w:rsid w:val="00A909C0"/>
    <w:rsid w:val="00A90BAE"/>
    <w:rsid w:val="00A912A4"/>
    <w:rsid w:val="00A919A8"/>
    <w:rsid w:val="00A927A1"/>
    <w:rsid w:val="00A92B24"/>
    <w:rsid w:val="00A930CE"/>
    <w:rsid w:val="00A9331C"/>
    <w:rsid w:val="00A93A9C"/>
    <w:rsid w:val="00A93BF4"/>
    <w:rsid w:val="00A93CA6"/>
    <w:rsid w:val="00A94319"/>
    <w:rsid w:val="00A947BF"/>
    <w:rsid w:val="00A9500A"/>
    <w:rsid w:val="00A95880"/>
    <w:rsid w:val="00A95BF5"/>
    <w:rsid w:val="00A96240"/>
    <w:rsid w:val="00A96859"/>
    <w:rsid w:val="00A9761E"/>
    <w:rsid w:val="00A97D23"/>
    <w:rsid w:val="00AA12F3"/>
    <w:rsid w:val="00AA1398"/>
    <w:rsid w:val="00AA1B2A"/>
    <w:rsid w:val="00AA1F8E"/>
    <w:rsid w:val="00AA1F92"/>
    <w:rsid w:val="00AA22A9"/>
    <w:rsid w:val="00AA2CF6"/>
    <w:rsid w:val="00AA30F8"/>
    <w:rsid w:val="00AA32EC"/>
    <w:rsid w:val="00AA380C"/>
    <w:rsid w:val="00AA5724"/>
    <w:rsid w:val="00AA58D0"/>
    <w:rsid w:val="00AA6294"/>
    <w:rsid w:val="00AA630B"/>
    <w:rsid w:val="00AA6660"/>
    <w:rsid w:val="00AA67B7"/>
    <w:rsid w:val="00AA6EE8"/>
    <w:rsid w:val="00AB0363"/>
    <w:rsid w:val="00AB04A3"/>
    <w:rsid w:val="00AB10C4"/>
    <w:rsid w:val="00AB177E"/>
    <w:rsid w:val="00AB2833"/>
    <w:rsid w:val="00AB2E47"/>
    <w:rsid w:val="00AB3024"/>
    <w:rsid w:val="00AB3081"/>
    <w:rsid w:val="00AB33C6"/>
    <w:rsid w:val="00AB3B7E"/>
    <w:rsid w:val="00AB4C20"/>
    <w:rsid w:val="00AB5D2E"/>
    <w:rsid w:val="00AB6CB1"/>
    <w:rsid w:val="00AB71F0"/>
    <w:rsid w:val="00AB7370"/>
    <w:rsid w:val="00AB7B4F"/>
    <w:rsid w:val="00AC006F"/>
    <w:rsid w:val="00AC0626"/>
    <w:rsid w:val="00AC12E0"/>
    <w:rsid w:val="00AC1BDE"/>
    <w:rsid w:val="00AC269E"/>
    <w:rsid w:val="00AC2D76"/>
    <w:rsid w:val="00AC38C3"/>
    <w:rsid w:val="00AC38D7"/>
    <w:rsid w:val="00AC3E27"/>
    <w:rsid w:val="00AC4134"/>
    <w:rsid w:val="00AC42BA"/>
    <w:rsid w:val="00AC4D20"/>
    <w:rsid w:val="00AD13E0"/>
    <w:rsid w:val="00AD151B"/>
    <w:rsid w:val="00AD29FF"/>
    <w:rsid w:val="00AD352E"/>
    <w:rsid w:val="00AD38A7"/>
    <w:rsid w:val="00AD40E7"/>
    <w:rsid w:val="00AD4EF4"/>
    <w:rsid w:val="00AD4F9D"/>
    <w:rsid w:val="00AD64C1"/>
    <w:rsid w:val="00AD6520"/>
    <w:rsid w:val="00AD7936"/>
    <w:rsid w:val="00AD7A14"/>
    <w:rsid w:val="00AE0183"/>
    <w:rsid w:val="00AE1C2C"/>
    <w:rsid w:val="00AE1D98"/>
    <w:rsid w:val="00AE2240"/>
    <w:rsid w:val="00AE320C"/>
    <w:rsid w:val="00AE3B06"/>
    <w:rsid w:val="00AE3BC9"/>
    <w:rsid w:val="00AE3CD1"/>
    <w:rsid w:val="00AE3F83"/>
    <w:rsid w:val="00AE59C4"/>
    <w:rsid w:val="00AE622B"/>
    <w:rsid w:val="00AE66D7"/>
    <w:rsid w:val="00AE688B"/>
    <w:rsid w:val="00AE6A39"/>
    <w:rsid w:val="00AE6C77"/>
    <w:rsid w:val="00AE7BD7"/>
    <w:rsid w:val="00AF04FF"/>
    <w:rsid w:val="00AF06BA"/>
    <w:rsid w:val="00AF1B4D"/>
    <w:rsid w:val="00AF393C"/>
    <w:rsid w:val="00AF4D0C"/>
    <w:rsid w:val="00AF4DD9"/>
    <w:rsid w:val="00AF4E28"/>
    <w:rsid w:val="00AF508B"/>
    <w:rsid w:val="00AF5DDA"/>
    <w:rsid w:val="00AF5F49"/>
    <w:rsid w:val="00AF6446"/>
    <w:rsid w:val="00AF671D"/>
    <w:rsid w:val="00AF6C5F"/>
    <w:rsid w:val="00AF6D41"/>
    <w:rsid w:val="00AF7165"/>
    <w:rsid w:val="00AF71DD"/>
    <w:rsid w:val="00B009EE"/>
    <w:rsid w:val="00B00B74"/>
    <w:rsid w:val="00B00C21"/>
    <w:rsid w:val="00B00D28"/>
    <w:rsid w:val="00B0128A"/>
    <w:rsid w:val="00B01602"/>
    <w:rsid w:val="00B04394"/>
    <w:rsid w:val="00B04E27"/>
    <w:rsid w:val="00B05030"/>
    <w:rsid w:val="00B052DE"/>
    <w:rsid w:val="00B05CEC"/>
    <w:rsid w:val="00B05E06"/>
    <w:rsid w:val="00B060FB"/>
    <w:rsid w:val="00B06DDE"/>
    <w:rsid w:val="00B07267"/>
    <w:rsid w:val="00B07272"/>
    <w:rsid w:val="00B073B4"/>
    <w:rsid w:val="00B073C3"/>
    <w:rsid w:val="00B0768C"/>
    <w:rsid w:val="00B10173"/>
    <w:rsid w:val="00B104B1"/>
    <w:rsid w:val="00B11515"/>
    <w:rsid w:val="00B1153D"/>
    <w:rsid w:val="00B116BE"/>
    <w:rsid w:val="00B11794"/>
    <w:rsid w:val="00B117BC"/>
    <w:rsid w:val="00B11804"/>
    <w:rsid w:val="00B11949"/>
    <w:rsid w:val="00B11D3A"/>
    <w:rsid w:val="00B11EA0"/>
    <w:rsid w:val="00B11F1B"/>
    <w:rsid w:val="00B1214C"/>
    <w:rsid w:val="00B12C39"/>
    <w:rsid w:val="00B139EF"/>
    <w:rsid w:val="00B13ADF"/>
    <w:rsid w:val="00B13BFA"/>
    <w:rsid w:val="00B14535"/>
    <w:rsid w:val="00B14D34"/>
    <w:rsid w:val="00B15337"/>
    <w:rsid w:val="00B15FCA"/>
    <w:rsid w:val="00B162C7"/>
    <w:rsid w:val="00B1642F"/>
    <w:rsid w:val="00B16DBB"/>
    <w:rsid w:val="00B17B02"/>
    <w:rsid w:val="00B17BE0"/>
    <w:rsid w:val="00B17CF3"/>
    <w:rsid w:val="00B209A4"/>
    <w:rsid w:val="00B20CF3"/>
    <w:rsid w:val="00B21AF0"/>
    <w:rsid w:val="00B21E7F"/>
    <w:rsid w:val="00B21F20"/>
    <w:rsid w:val="00B22ACC"/>
    <w:rsid w:val="00B22AD8"/>
    <w:rsid w:val="00B23B22"/>
    <w:rsid w:val="00B23E06"/>
    <w:rsid w:val="00B244F9"/>
    <w:rsid w:val="00B24DBB"/>
    <w:rsid w:val="00B25828"/>
    <w:rsid w:val="00B25D1A"/>
    <w:rsid w:val="00B25F7F"/>
    <w:rsid w:val="00B25FA1"/>
    <w:rsid w:val="00B25FDE"/>
    <w:rsid w:val="00B26C5B"/>
    <w:rsid w:val="00B27048"/>
    <w:rsid w:val="00B27130"/>
    <w:rsid w:val="00B278C3"/>
    <w:rsid w:val="00B30DAA"/>
    <w:rsid w:val="00B318D5"/>
    <w:rsid w:val="00B32120"/>
    <w:rsid w:val="00B3333D"/>
    <w:rsid w:val="00B33A95"/>
    <w:rsid w:val="00B33CF1"/>
    <w:rsid w:val="00B33D09"/>
    <w:rsid w:val="00B34354"/>
    <w:rsid w:val="00B34522"/>
    <w:rsid w:val="00B345E4"/>
    <w:rsid w:val="00B3472D"/>
    <w:rsid w:val="00B347C3"/>
    <w:rsid w:val="00B34E4B"/>
    <w:rsid w:val="00B35794"/>
    <w:rsid w:val="00B35BA6"/>
    <w:rsid w:val="00B36584"/>
    <w:rsid w:val="00B36880"/>
    <w:rsid w:val="00B40022"/>
    <w:rsid w:val="00B41177"/>
    <w:rsid w:val="00B4135C"/>
    <w:rsid w:val="00B41FA0"/>
    <w:rsid w:val="00B42157"/>
    <w:rsid w:val="00B434AA"/>
    <w:rsid w:val="00B44002"/>
    <w:rsid w:val="00B44AA1"/>
    <w:rsid w:val="00B4680C"/>
    <w:rsid w:val="00B468D6"/>
    <w:rsid w:val="00B46FA2"/>
    <w:rsid w:val="00B47693"/>
    <w:rsid w:val="00B47BCF"/>
    <w:rsid w:val="00B47EC0"/>
    <w:rsid w:val="00B51F44"/>
    <w:rsid w:val="00B52CE5"/>
    <w:rsid w:val="00B52D92"/>
    <w:rsid w:val="00B52E0B"/>
    <w:rsid w:val="00B53CA9"/>
    <w:rsid w:val="00B54384"/>
    <w:rsid w:val="00B54454"/>
    <w:rsid w:val="00B54793"/>
    <w:rsid w:val="00B555AD"/>
    <w:rsid w:val="00B5578A"/>
    <w:rsid w:val="00B565E0"/>
    <w:rsid w:val="00B5664A"/>
    <w:rsid w:val="00B5664B"/>
    <w:rsid w:val="00B56B89"/>
    <w:rsid w:val="00B5743C"/>
    <w:rsid w:val="00B57EC3"/>
    <w:rsid w:val="00B60342"/>
    <w:rsid w:val="00B610E6"/>
    <w:rsid w:val="00B613C0"/>
    <w:rsid w:val="00B6223E"/>
    <w:rsid w:val="00B62D44"/>
    <w:rsid w:val="00B63FFE"/>
    <w:rsid w:val="00B64E51"/>
    <w:rsid w:val="00B67BFA"/>
    <w:rsid w:val="00B67C36"/>
    <w:rsid w:val="00B67EE6"/>
    <w:rsid w:val="00B71ACB"/>
    <w:rsid w:val="00B721FE"/>
    <w:rsid w:val="00B72889"/>
    <w:rsid w:val="00B730EC"/>
    <w:rsid w:val="00B733A5"/>
    <w:rsid w:val="00B73CBF"/>
    <w:rsid w:val="00B73D82"/>
    <w:rsid w:val="00B74044"/>
    <w:rsid w:val="00B74468"/>
    <w:rsid w:val="00B74758"/>
    <w:rsid w:val="00B748A2"/>
    <w:rsid w:val="00B7501A"/>
    <w:rsid w:val="00B7555D"/>
    <w:rsid w:val="00B7557A"/>
    <w:rsid w:val="00B75787"/>
    <w:rsid w:val="00B75ADF"/>
    <w:rsid w:val="00B76298"/>
    <w:rsid w:val="00B762A1"/>
    <w:rsid w:val="00B76419"/>
    <w:rsid w:val="00B76A68"/>
    <w:rsid w:val="00B77074"/>
    <w:rsid w:val="00B770C3"/>
    <w:rsid w:val="00B7785E"/>
    <w:rsid w:val="00B77A91"/>
    <w:rsid w:val="00B80D56"/>
    <w:rsid w:val="00B81269"/>
    <w:rsid w:val="00B818FD"/>
    <w:rsid w:val="00B822A0"/>
    <w:rsid w:val="00B8280A"/>
    <w:rsid w:val="00B82878"/>
    <w:rsid w:val="00B82A79"/>
    <w:rsid w:val="00B82FE1"/>
    <w:rsid w:val="00B8317E"/>
    <w:rsid w:val="00B836DD"/>
    <w:rsid w:val="00B84964"/>
    <w:rsid w:val="00B84989"/>
    <w:rsid w:val="00B849F6"/>
    <w:rsid w:val="00B85600"/>
    <w:rsid w:val="00B85EC8"/>
    <w:rsid w:val="00B86136"/>
    <w:rsid w:val="00B86E86"/>
    <w:rsid w:val="00B86ED3"/>
    <w:rsid w:val="00B870BB"/>
    <w:rsid w:val="00B90674"/>
    <w:rsid w:val="00B90BBA"/>
    <w:rsid w:val="00B91FD9"/>
    <w:rsid w:val="00B94469"/>
    <w:rsid w:val="00B949B2"/>
    <w:rsid w:val="00B94CD1"/>
    <w:rsid w:val="00B94ED9"/>
    <w:rsid w:val="00B960CC"/>
    <w:rsid w:val="00B96638"/>
    <w:rsid w:val="00B97F30"/>
    <w:rsid w:val="00B97F96"/>
    <w:rsid w:val="00BA00DB"/>
    <w:rsid w:val="00BA0284"/>
    <w:rsid w:val="00BA0327"/>
    <w:rsid w:val="00BA0397"/>
    <w:rsid w:val="00BA24AA"/>
    <w:rsid w:val="00BA266B"/>
    <w:rsid w:val="00BA2AFA"/>
    <w:rsid w:val="00BA2F01"/>
    <w:rsid w:val="00BA3C2A"/>
    <w:rsid w:val="00BA5AEE"/>
    <w:rsid w:val="00BA5C8C"/>
    <w:rsid w:val="00BA6217"/>
    <w:rsid w:val="00BA6DB5"/>
    <w:rsid w:val="00BA6EE7"/>
    <w:rsid w:val="00BA6F20"/>
    <w:rsid w:val="00BA70E0"/>
    <w:rsid w:val="00BA75A7"/>
    <w:rsid w:val="00BA769C"/>
    <w:rsid w:val="00BA7CD5"/>
    <w:rsid w:val="00BA7FCD"/>
    <w:rsid w:val="00BB076E"/>
    <w:rsid w:val="00BB0803"/>
    <w:rsid w:val="00BB0936"/>
    <w:rsid w:val="00BB0B19"/>
    <w:rsid w:val="00BB139C"/>
    <w:rsid w:val="00BB1CD0"/>
    <w:rsid w:val="00BB1D10"/>
    <w:rsid w:val="00BB2B61"/>
    <w:rsid w:val="00BB2BD8"/>
    <w:rsid w:val="00BB36E1"/>
    <w:rsid w:val="00BB3799"/>
    <w:rsid w:val="00BB3E4A"/>
    <w:rsid w:val="00BB4264"/>
    <w:rsid w:val="00BB432E"/>
    <w:rsid w:val="00BB4431"/>
    <w:rsid w:val="00BB5446"/>
    <w:rsid w:val="00BB55C5"/>
    <w:rsid w:val="00BB58AF"/>
    <w:rsid w:val="00BB5AC6"/>
    <w:rsid w:val="00BB5C4D"/>
    <w:rsid w:val="00BB6321"/>
    <w:rsid w:val="00BB6C49"/>
    <w:rsid w:val="00BB7A8D"/>
    <w:rsid w:val="00BC02C9"/>
    <w:rsid w:val="00BC0BE0"/>
    <w:rsid w:val="00BC13F5"/>
    <w:rsid w:val="00BC19F2"/>
    <w:rsid w:val="00BC1C6D"/>
    <w:rsid w:val="00BC1E0A"/>
    <w:rsid w:val="00BC200F"/>
    <w:rsid w:val="00BC29B0"/>
    <w:rsid w:val="00BC2CC6"/>
    <w:rsid w:val="00BC35D1"/>
    <w:rsid w:val="00BC37D9"/>
    <w:rsid w:val="00BC390D"/>
    <w:rsid w:val="00BC3952"/>
    <w:rsid w:val="00BC3CFF"/>
    <w:rsid w:val="00BC3F50"/>
    <w:rsid w:val="00BC4504"/>
    <w:rsid w:val="00BC45FC"/>
    <w:rsid w:val="00BC4EE3"/>
    <w:rsid w:val="00BC5470"/>
    <w:rsid w:val="00BC551A"/>
    <w:rsid w:val="00BC5664"/>
    <w:rsid w:val="00BC5BB8"/>
    <w:rsid w:val="00BC5BDA"/>
    <w:rsid w:val="00BC5E34"/>
    <w:rsid w:val="00BC609C"/>
    <w:rsid w:val="00BC62D8"/>
    <w:rsid w:val="00BC6AFE"/>
    <w:rsid w:val="00BC700A"/>
    <w:rsid w:val="00BC76F3"/>
    <w:rsid w:val="00BD01A9"/>
    <w:rsid w:val="00BD02BF"/>
    <w:rsid w:val="00BD0895"/>
    <w:rsid w:val="00BD08BF"/>
    <w:rsid w:val="00BD0E29"/>
    <w:rsid w:val="00BD0EE8"/>
    <w:rsid w:val="00BD1535"/>
    <w:rsid w:val="00BD2729"/>
    <w:rsid w:val="00BD2762"/>
    <w:rsid w:val="00BD2C75"/>
    <w:rsid w:val="00BD36C6"/>
    <w:rsid w:val="00BD455F"/>
    <w:rsid w:val="00BD4889"/>
    <w:rsid w:val="00BD52DE"/>
    <w:rsid w:val="00BD547D"/>
    <w:rsid w:val="00BD613B"/>
    <w:rsid w:val="00BD61F9"/>
    <w:rsid w:val="00BD624B"/>
    <w:rsid w:val="00BE015D"/>
    <w:rsid w:val="00BE0AE0"/>
    <w:rsid w:val="00BE1741"/>
    <w:rsid w:val="00BE1780"/>
    <w:rsid w:val="00BE243E"/>
    <w:rsid w:val="00BE2604"/>
    <w:rsid w:val="00BE27DF"/>
    <w:rsid w:val="00BE2863"/>
    <w:rsid w:val="00BE3100"/>
    <w:rsid w:val="00BE3774"/>
    <w:rsid w:val="00BE4DAE"/>
    <w:rsid w:val="00BE5096"/>
    <w:rsid w:val="00BE6744"/>
    <w:rsid w:val="00BE6C60"/>
    <w:rsid w:val="00BE6DC1"/>
    <w:rsid w:val="00BE708D"/>
    <w:rsid w:val="00BE7275"/>
    <w:rsid w:val="00BE747D"/>
    <w:rsid w:val="00BE77AF"/>
    <w:rsid w:val="00BF033F"/>
    <w:rsid w:val="00BF049E"/>
    <w:rsid w:val="00BF0C12"/>
    <w:rsid w:val="00BF0ED9"/>
    <w:rsid w:val="00BF11AF"/>
    <w:rsid w:val="00BF1551"/>
    <w:rsid w:val="00BF15F0"/>
    <w:rsid w:val="00BF1A72"/>
    <w:rsid w:val="00BF21E7"/>
    <w:rsid w:val="00BF2A09"/>
    <w:rsid w:val="00BF3775"/>
    <w:rsid w:val="00BF3889"/>
    <w:rsid w:val="00BF45E2"/>
    <w:rsid w:val="00BF4B69"/>
    <w:rsid w:val="00BF4B72"/>
    <w:rsid w:val="00BF4F25"/>
    <w:rsid w:val="00BF4FEC"/>
    <w:rsid w:val="00BF509B"/>
    <w:rsid w:val="00BF5F73"/>
    <w:rsid w:val="00BF64DA"/>
    <w:rsid w:val="00BF6A2F"/>
    <w:rsid w:val="00BF6BEA"/>
    <w:rsid w:val="00BF7C94"/>
    <w:rsid w:val="00C00597"/>
    <w:rsid w:val="00C01042"/>
    <w:rsid w:val="00C0179E"/>
    <w:rsid w:val="00C0217B"/>
    <w:rsid w:val="00C0293C"/>
    <w:rsid w:val="00C02EE2"/>
    <w:rsid w:val="00C02F95"/>
    <w:rsid w:val="00C03931"/>
    <w:rsid w:val="00C0442E"/>
    <w:rsid w:val="00C04919"/>
    <w:rsid w:val="00C04ACE"/>
    <w:rsid w:val="00C058EA"/>
    <w:rsid w:val="00C07161"/>
    <w:rsid w:val="00C07212"/>
    <w:rsid w:val="00C07593"/>
    <w:rsid w:val="00C07721"/>
    <w:rsid w:val="00C07A7E"/>
    <w:rsid w:val="00C07B35"/>
    <w:rsid w:val="00C110C3"/>
    <w:rsid w:val="00C1135B"/>
    <w:rsid w:val="00C11F84"/>
    <w:rsid w:val="00C12599"/>
    <w:rsid w:val="00C12A4C"/>
    <w:rsid w:val="00C12B05"/>
    <w:rsid w:val="00C12E5E"/>
    <w:rsid w:val="00C13162"/>
    <w:rsid w:val="00C1369D"/>
    <w:rsid w:val="00C13C1A"/>
    <w:rsid w:val="00C13CC1"/>
    <w:rsid w:val="00C14845"/>
    <w:rsid w:val="00C14AD0"/>
    <w:rsid w:val="00C151EB"/>
    <w:rsid w:val="00C155BD"/>
    <w:rsid w:val="00C1595A"/>
    <w:rsid w:val="00C15C8D"/>
    <w:rsid w:val="00C15CE1"/>
    <w:rsid w:val="00C15DEE"/>
    <w:rsid w:val="00C15EF5"/>
    <w:rsid w:val="00C1602F"/>
    <w:rsid w:val="00C167C3"/>
    <w:rsid w:val="00C16FA1"/>
    <w:rsid w:val="00C17A65"/>
    <w:rsid w:val="00C17C92"/>
    <w:rsid w:val="00C20B26"/>
    <w:rsid w:val="00C2111B"/>
    <w:rsid w:val="00C21B90"/>
    <w:rsid w:val="00C227B0"/>
    <w:rsid w:val="00C22824"/>
    <w:rsid w:val="00C2292C"/>
    <w:rsid w:val="00C23394"/>
    <w:rsid w:val="00C236F8"/>
    <w:rsid w:val="00C23AB8"/>
    <w:rsid w:val="00C2434E"/>
    <w:rsid w:val="00C24796"/>
    <w:rsid w:val="00C256A8"/>
    <w:rsid w:val="00C25911"/>
    <w:rsid w:val="00C25BB3"/>
    <w:rsid w:val="00C25E49"/>
    <w:rsid w:val="00C26C5C"/>
    <w:rsid w:val="00C271E8"/>
    <w:rsid w:val="00C2763B"/>
    <w:rsid w:val="00C301BE"/>
    <w:rsid w:val="00C307B8"/>
    <w:rsid w:val="00C317C1"/>
    <w:rsid w:val="00C318C7"/>
    <w:rsid w:val="00C31DB0"/>
    <w:rsid w:val="00C32319"/>
    <w:rsid w:val="00C32624"/>
    <w:rsid w:val="00C32DCE"/>
    <w:rsid w:val="00C33206"/>
    <w:rsid w:val="00C334A4"/>
    <w:rsid w:val="00C338B0"/>
    <w:rsid w:val="00C33C5A"/>
    <w:rsid w:val="00C34030"/>
    <w:rsid w:val="00C34A25"/>
    <w:rsid w:val="00C34A28"/>
    <w:rsid w:val="00C35586"/>
    <w:rsid w:val="00C3570E"/>
    <w:rsid w:val="00C36551"/>
    <w:rsid w:val="00C3698B"/>
    <w:rsid w:val="00C40D44"/>
    <w:rsid w:val="00C40E84"/>
    <w:rsid w:val="00C411BF"/>
    <w:rsid w:val="00C413E6"/>
    <w:rsid w:val="00C4161E"/>
    <w:rsid w:val="00C41758"/>
    <w:rsid w:val="00C4181B"/>
    <w:rsid w:val="00C41A08"/>
    <w:rsid w:val="00C41FAC"/>
    <w:rsid w:val="00C42B74"/>
    <w:rsid w:val="00C42BE8"/>
    <w:rsid w:val="00C43B5F"/>
    <w:rsid w:val="00C43F80"/>
    <w:rsid w:val="00C443FD"/>
    <w:rsid w:val="00C445DD"/>
    <w:rsid w:val="00C44C9B"/>
    <w:rsid w:val="00C4528B"/>
    <w:rsid w:val="00C45F83"/>
    <w:rsid w:val="00C4679F"/>
    <w:rsid w:val="00C46E21"/>
    <w:rsid w:val="00C472CC"/>
    <w:rsid w:val="00C473DF"/>
    <w:rsid w:val="00C4786B"/>
    <w:rsid w:val="00C479AD"/>
    <w:rsid w:val="00C47DCA"/>
    <w:rsid w:val="00C47F10"/>
    <w:rsid w:val="00C5209F"/>
    <w:rsid w:val="00C52546"/>
    <w:rsid w:val="00C52762"/>
    <w:rsid w:val="00C559FB"/>
    <w:rsid w:val="00C564A1"/>
    <w:rsid w:val="00C56563"/>
    <w:rsid w:val="00C571E6"/>
    <w:rsid w:val="00C576A7"/>
    <w:rsid w:val="00C57706"/>
    <w:rsid w:val="00C60667"/>
    <w:rsid w:val="00C60E75"/>
    <w:rsid w:val="00C61744"/>
    <w:rsid w:val="00C61A29"/>
    <w:rsid w:val="00C62A02"/>
    <w:rsid w:val="00C63478"/>
    <w:rsid w:val="00C63F8F"/>
    <w:rsid w:val="00C64212"/>
    <w:rsid w:val="00C64391"/>
    <w:rsid w:val="00C661E2"/>
    <w:rsid w:val="00C66AA6"/>
    <w:rsid w:val="00C67421"/>
    <w:rsid w:val="00C677AD"/>
    <w:rsid w:val="00C67B10"/>
    <w:rsid w:val="00C67E8C"/>
    <w:rsid w:val="00C70C80"/>
    <w:rsid w:val="00C71B14"/>
    <w:rsid w:val="00C72477"/>
    <w:rsid w:val="00C72875"/>
    <w:rsid w:val="00C72BD8"/>
    <w:rsid w:val="00C73192"/>
    <w:rsid w:val="00C73A3F"/>
    <w:rsid w:val="00C73ECE"/>
    <w:rsid w:val="00C74BD1"/>
    <w:rsid w:val="00C77D93"/>
    <w:rsid w:val="00C77DC5"/>
    <w:rsid w:val="00C808A1"/>
    <w:rsid w:val="00C80E41"/>
    <w:rsid w:val="00C8148F"/>
    <w:rsid w:val="00C81F90"/>
    <w:rsid w:val="00C83137"/>
    <w:rsid w:val="00C835FF"/>
    <w:rsid w:val="00C8399D"/>
    <w:rsid w:val="00C8515C"/>
    <w:rsid w:val="00C8544F"/>
    <w:rsid w:val="00C85612"/>
    <w:rsid w:val="00C85C8C"/>
    <w:rsid w:val="00C864AD"/>
    <w:rsid w:val="00C8662A"/>
    <w:rsid w:val="00C86946"/>
    <w:rsid w:val="00C87708"/>
    <w:rsid w:val="00C87D17"/>
    <w:rsid w:val="00C87E27"/>
    <w:rsid w:val="00C901A8"/>
    <w:rsid w:val="00C912A5"/>
    <w:rsid w:val="00C91A15"/>
    <w:rsid w:val="00C921C0"/>
    <w:rsid w:val="00C923EE"/>
    <w:rsid w:val="00C92971"/>
    <w:rsid w:val="00C9422F"/>
    <w:rsid w:val="00C950EA"/>
    <w:rsid w:val="00C95182"/>
    <w:rsid w:val="00C952E3"/>
    <w:rsid w:val="00C958D0"/>
    <w:rsid w:val="00C95939"/>
    <w:rsid w:val="00C96469"/>
    <w:rsid w:val="00C975E9"/>
    <w:rsid w:val="00C97CC0"/>
    <w:rsid w:val="00CA00E5"/>
    <w:rsid w:val="00CA07B5"/>
    <w:rsid w:val="00CA10AA"/>
    <w:rsid w:val="00CA1891"/>
    <w:rsid w:val="00CA1ACD"/>
    <w:rsid w:val="00CA1F64"/>
    <w:rsid w:val="00CA27F5"/>
    <w:rsid w:val="00CA2931"/>
    <w:rsid w:val="00CA2CC0"/>
    <w:rsid w:val="00CA331B"/>
    <w:rsid w:val="00CA3D2C"/>
    <w:rsid w:val="00CA3F38"/>
    <w:rsid w:val="00CA4384"/>
    <w:rsid w:val="00CA4395"/>
    <w:rsid w:val="00CA4A49"/>
    <w:rsid w:val="00CA4B4F"/>
    <w:rsid w:val="00CA544F"/>
    <w:rsid w:val="00CA54A3"/>
    <w:rsid w:val="00CA5567"/>
    <w:rsid w:val="00CA58F7"/>
    <w:rsid w:val="00CA5997"/>
    <w:rsid w:val="00CA5C46"/>
    <w:rsid w:val="00CA5C95"/>
    <w:rsid w:val="00CA62BD"/>
    <w:rsid w:val="00CA6632"/>
    <w:rsid w:val="00CA6D78"/>
    <w:rsid w:val="00CA738F"/>
    <w:rsid w:val="00CA7583"/>
    <w:rsid w:val="00CA7891"/>
    <w:rsid w:val="00CA7B53"/>
    <w:rsid w:val="00CB0C12"/>
    <w:rsid w:val="00CB19CD"/>
    <w:rsid w:val="00CB1A41"/>
    <w:rsid w:val="00CB23D7"/>
    <w:rsid w:val="00CB2AF1"/>
    <w:rsid w:val="00CB3A51"/>
    <w:rsid w:val="00CB3F03"/>
    <w:rsid w:val="00CB4333"/>
    <w:rsid w:val="00CB5323"/>
    <w:rsid w:val="00CB56C9"/>
    <w:rsid w:val="00CB5911"/>
    <w:rsid w:val="00CB6DCC"/>
    <w:rsid w:val="00CB74B3"/>
    <w:rsid w:val="00CB7CAD"/>
    <w:rsid w:val="00CC02BC"/>
    <w:rsid w:val="00CC0307"/>
    <w:rsid w:val="00CC0867"/>
    <w:rsid w:val="00CC08E5"/>
    <w:rsid w:val="00CC0BA2"/>
    <w:rsid w:val="00CC0F82"/>
    <w:rsid w:val="00CC2256"/>
    <w:rsid w:val="00CC22F6"/>
    <w:rsid w:val="00CC267A"/>
    <w:rsid w:val="00CC2734"/>
    <w:rsid w:val="00CC2BDC"/>
    <w:rsid w:val="00CC31FB"/>
    <w:rsid w:val="00CC32EA"/>
    <w:rsid w:val="00CC461C"/>
    <w:rsid w:val="00CC49DF"/>
    <w:rsid w:val="00CC4F56"/>
    <w:rsid w:val="00CC4FCA"/>
    <w:rsid w:val="00CC5138"/>
    <w:rsid w:val="00CC52D6"/>
    <w:rsid w:val="00CC55CE"/>
    <w:rsid w:val="00CC5916"/>
    <w:rsid w:val="00CC64A9"/>
    <w:rsid w:val="00CC6D6A"/>
    <w:rsid w:val="00CC73EF"/>
    <w:rsid w:val="00CC7700"/>
    <w:rsid w:val="00CC7819"/>
    <w:rsid w:val="00CC7F86"/>
    <w:rsid w:val="00CC7FF3"/>
    <w:rsid w:val="00CD0DD9"/>
    <w:rsid w:val="00CD11A2"/>
    <w:rsid w:val="00CD173B"/>
    <w:rsid w:val="00CD2938"/>
    <w:rsid w:val="00CD3542"/>
    <w:rsid w:val="00CD5370"/>
    <w:rsid w:val="00CD57EC"/>
    <w:rsid w:val="00CD5947"/>
    <w:rsid w:val="00CD5A26"/>
    <w:rsid w:val="00CD5F76"/>
    <w:rsid w:val="00CD6697"/>
    <w:rsid w:val="00CD6FC7"/>
    <w:rsid w:val="00CE0229"/>
    <w:rsid w:val="00CE045C"/>
    <w:rsid w:val="00CE070C"/>
    <w:rsid w:val="00CE0DF5"/>
    <w:rsid w:val="00CE10EB"/>
    <w:rsid w:val="00CE1100"/>
    <w:rsid w:val="00CE1991"/>
    <w:rsid w:val="00CE1D1C"/>
    <w:rsid w:val="00CE24D3"/>
    <w:rsid w:val="00CE291D"/>
    <w:rsid w:val="00CE369B"/>
    <w:rsid w:val="00CE3B0A"/>
    <w:rsid w:val="00CE42BA"/>
    <w:rsid w:val="00CE4B1A"/>
    <w:rsid w:val="00CE5458"/>
    <w:rsid w:val="00CE5469"/>
    <w:rsid w:val="00CE5798"/>
    <w:rsid w:val="00CE5BB6"/>
    <w:rsid w:val="00CE5C05"/>
    <w:rsid w:val="00CE5CFB"/>
    <w:rsid w:val="00CE6812"/>
    <w:rsid w:val="00CE6C46"/>
    <w:rsid w:val="00CE6D7E"/>
    <w:rsid w:val="00CE70F7"/>
    <w:rsid w:val="00CE7795"/>
    <w:rsid w:val="00CE78C2"/>
    <w:rsid w:val="00CF005F"/>
    <w:rsid w:val="00CF095E"/>
    <w:rsid w:val="00CF0D51"/>
    <w:rsid w:val="00CF10DB"/>
    <w:rsid w:val="00CF113C"/>
    <w:rsid w:val="00CF17C1"/>
    <w:rsid w:val="00CF1AAE"/>
    <w:rsid w:val="00CF1D6A"/>
    <w:rsid w:val="00CF1FCA"/>
    <w:rsid w:val="00CF2591"/>
    <w:rsid w:val="00CF29F0"/>
    <w:rsid w:val="00CF355B"/>
    <w:rsid w:val="00CF37A5"/>
    <w:rsid w:val="00CF4087"/>
    <w:rsid w:val="00CF47A4"/>
    <w:rsid w:val="00CF494C"/>
    <w:rsid w:val="00CF4F02"/>
    <w:rsid w:val="00CF584F"/>
    <w:rsid w:val="00CF60FD"/>
    <w:rsid w:val="00CF6339"/>
    <w:rsid w:val="00CF6E4A"/>
    <w:rsid w:val="00CF7364"/>
    <w:rsid w:val="00CF7FD8"/>
    <w:rsid w:val="00D0009A"/>
    <w:rsid w:val="00D0031D"/>
    <w:rsid w:val="00D015AF"/>
    <w:rsid w:val="00D01646"/>
    <w:rsid w:val="00D02404"/>
    <w:rsid w:val="00D02982"/>
    <w:rsid w:val="00D02FDC"/>
    <w:rsid w:val="00D034DD"/>
    <w:rsid w:val="00D03A19"/>
    <w:rsid w:val="00D03ED0"/>
    <w:rsid w:val="00D04708"/>
    <w:rsid w:val="00D050C4"/>
    <w:rsid w:val="00D0586A"/>
    <w:rsid w:val="00D06950"/>
    <w:rsid w:val="00D07130"/>
    <w:rsid w:val="00D1062F"/>
    <w:rsid w:val="00D1147B"/>
    <w:rsid w:val="00D11955"/>
    <w:rsid w:val="00D1218C"/>
    <w:rsid w:val="00D1269D"/>
    <w:rsid w:val="00D13838"/>
    <w:rsid w:val="00D13A3D"/>
    <w:rsid w:val="00D14371"/>
    <w:rsid w:val="00D1439D"/>
    <w:rsid w:val="00D148B7"/>
    <w:rsid w:val="00D14C5F"/>
    <w:rsid w:val="00D15518"/>
    <w:rsid w:val="00D15884"/>
    <w:rsid w:val="00D16116"/>
    <w:rsid w:val="00D16530"/>
    <w:rsid w:val="00D16D24"/>
    <w:rsid w:val="00D16FC6"/>
    <w:rsid w:val="00D1718B"/>
    <w:rsid w:val="00D17275"/>
    <w:rsid w:val="00D17A8D"/>
    <w:rsid w:val="00D203BA"/>
    <w:rsid w:val="00D20428"/>
    <w:rsid w:val="00D21DA2"/>
    <w:rsid w:val="00D21E5C"/>
    <w:rsid w:val="00D227A3"/>
    <w:rsid w:val="00D22AA3"/>
    <w:rsid w:val="00D22D89"/>
    <w:rsid w:val="00D23D88"/>
    <w:rsid w:val="00D23DE6"/>
    <w:rsid w:val="00D23F39"/>
    <w:rsid w:val="00D23F93"/>
    <w:rsid w:val="00D245E1"/>
    <w:rsid w:val="00D25941"/>
    <w:rsid w:val="00D25946"/>
    <w:rsid w:val="00D2646B"/>
    <w:rsid w:val="00D26C74"/>
    <w:rsid w:val="00D26E12"/>
    <w:rsid w:val="00D26F23"/>
    <w:rsid w:val="00D30259"/>
    <w:rsid w:val="00D30829"/>
    <w:rsid w:val="00D309BF"/>
    <w:rsid w:val="00D31726"/>
    <w:rsid w:val="00D31C39"/>
    <w:rsid w:val="00D331EC"/>
    <w:rsid w:val="00D3387E"/>
    <w:rsid w:val="00D33F4F"/>
    <w:rsid w:val="00D34874"/>
    <w:rsid w:val="00D34DFE"/>
    <w:rsid w:val="00D351F5"/>
    <w:rsid w:val="00D35203"/>
    <w:rsid w:val="00D3637C"/>
    <w:rsid w:val="00D36580"/>
    <w:rsid w:val="00D36ACA"/>
    <w:rsid w:val="00D376F2"/>
    <w:rsid w:val="00D377AB"/>
    <w:rsid w:val="00D37AEC"/>
    <w:rsid w:val="00D42698"/>
    <w:rsid w:val="00D42B8C"/>
    <w:rsid w:val="00D4339C"/>
    <w:rsid w:val="00D437CB"/>
    <w:rsid w:val="00D43C4C"/>
    <w:rsid w:val="00D43D15"/>
    <w:rsid w:val="00D44C58"/>
    <w:rsid w:val="00D44C6E"/>
    <w:rsid w:val="00D4522D"/>
    <w:rsid w:val="00D45A16"/>
    <w:rsid w:val="00D45ABA"/>
    <w:rsid w:val="00D47324"/>
    <w:rsid w:val="00D47507"/>
    <w:rsid w:val="00D4755B"/>
    <w:rsid w:val="00D50945"/>
    <w:rsid w:val="00D50D5E"/>
    <w:rsid w:val="00D51713"/>
    <w:rsid w:val="00D51851"/>
    <w:rsid w:val="00D523D5"/>
    <w:rsid w:val="00D526EA"/>
    <w:rsid w:val="00D52796"/>
    <w:rsid w:val="00D5293D"/>
    <w:rsid w:val="00D52AAC"/>
    <w:rsid w:val="00D531E0"/>
    <w:rsid w:val="00D533FA"/>
    <w:rsid w:val="00D543BC"/>
    <w:rsid w:val="00D54ED3"/>
    <w:rsid w:val="00D55192"/>
    <w:rsid w:val="00D55774"/>
    <w:rsid w:val="00D561BB"/>
    <w:rsid w:val="00D565AA"/>
    <w:rsid w:val="00D57494"/>
    <w:rsid w:val="00D60498"/>
    <w:rsid w:val="00D61786"/>
    <w:rsid w:val="00D61838"/>
    <w:rsid w:val="00D61AA7"/>
    <w:rsid w:val="00D61FA4"/>
    <w:rsid w:val="00D61FB3"/>
    <w:rsid w:val="00D621C4"/>
    <w:rsid w:val="00D62435"/>
    <w:rsid w:val="00D62A07"/>
    <w:rsid w:val="00D62A33"/>
    <w:rsid w:val="00D62BC5"/>
    <w:rsid w:val="00D62ED8"/>
    <w:rsid w:val="00D62EE2"/>
    <w:rsid w:val="00D6328F"/>
    <w:rsid w:val="00D63B39"/>
    <w:rsid w:val="00D642F8"/>
    <w:rsid w:val="00D64EE4"/>
    <w:rsid w:val="00D66928"/>
    <w:rsid w:val="00D66CDE"/>
    <w:rsid w:val="00D677F7"/>
    <w:rsid w:val="00D7062E"/>
    <w:rsid w:val="00D70843"/>
    <w:rsid w:val="00D70AA1"/>
    <w:rsid w:val="00D70DD7"/>
    <w:rsid w:val="00D7125C"/>
    <w:rsid w:val="00D71468"/>
    <w:rsid w:val="00D71F79"/>
    <w:rsid w:val="00D724FB"/>
    <w:rsid w:val="00D72ABF"/>
    <w:rsid w:val="00D72D86"/>
    <w:rsid w:val="00D7325C"/>
    <w:rsid w:val="00D74732"/>
    <w:rsid w:val="00D74C95"/>
    <w:rsid w:val="00D75758"/>
    <w:rsid w:val="00D75A10"/>
    <w:rsid w:val="00D76359"/>
    <w:rsid w:val="00D766DF"/>
    <w:rsid w:val="00D76BD4"/>
    <w:rsid w:val="00D76C7D"/>
    <w:rsid w:val="00D7746E"/>
    <w:rsid w:val="00D806F4"/>
    <w:rsid w:val="00D80723"/>
    <w:rsid w:val="00D80819"/>
    <w:rsid w:val="00D80B56"/>
    <w:rsid w:val="00D835D9"/>
    <w:rsid w:val="00D84715"/>
    <w:rsid w:val="00D847FD"/>
    <w:rsid w:val="00D849A3"/>
    <w:rsid w:val="00D8650F"/>
    <w:rsid w:val="00D867AA"/>
    <w:rsid w:val="00D86A20"/>
    <w:rsid w:val="00D86A55"/>
    <w:rsid w:val="00D86A7E"/>
    <w:rsid w:val="00D86C28"/>
    <w:rsid w:val="00D86CDA"/>
    <w:rsid w:val="00D87149"/>
    <w:rsid w:val="00D87264"/>
    <w:rsid w:val="00D87BF6"/>
    <w:rsid w:val="00D87D53"/>
    <w:rsid w:val="00D90791"/>
    <w:rsid w:val="00D9093A"/>
    <w:rsid w:val="00D90C3D"/>
    <w:rsid w:val="00D9185A"/>
    <w:rsid w:val="00D918DF"/>
    <w:rsid w:val="00D91F73"/>
    <w:rsid w:val="00D93196"/>
    <w:rsid w:val="00D95435"/>
    <w:rsid w:val="00D95BF8"/>
    <w:rsid w:val="00D962E8"/>
    <w:rsid w:val="00D96408"/>
    <w:rsid w:val="00D96D64"/>
    <w:rsid w:val="00D9714A"/>
    <w:rsid w:val="00D97A7E"/>
    <w:rsid w:val="00DA0141"/>
    <w:rsid w:val="00DA0365"/>
    <w:rsid w:val="00DA0423"/>
    <w:rsid w:val="00DA11FB"/>
    <w:rsid w:val="00DA1454"/>
    <w:rsid w:val="00DA19E9"/>
    <w:rsid w:val="00DA27E3"/>
    <w:rsid w:val="00DA2FBE"/>
    <w:rsid w:val="00DA437B"/>
    <w:rsid w:val="00DA463E"/>
    <w:rsid w:val="00DA4722"/>
    <w:rsid w:val="00DA4C5B"/>
    <w:rsid w:val="00DA4F65"/>
    <w:rsid w:val="00DA52CC"/>
    <w:rsid w:val="00DA6179"/>
    <w:rsid w:val="00DA64C4"/>
    <w:rsid w:val="00DA72DA"/>
    <w:rsid w:val="00DB08CD"/>
    <w:rsid w:val="00DB0A95"/>
    <w:rsid w:val="00DB0D63"/>
    <w:rsid w:val="00DB0F55"/>
    <w:rsid w:val="00DB1496"/>
    <w:rsid w:val="00DB1F61"/>
    <w:rsid w:val="00DB1F6F"/>
    <w:rsid w:val="00DB2A65"/>
    <w:rsid w:val="00DB312F"/>
    <w:rsid w:val="00DB3BA9"/>
    <w:rsid w:val="00DB3D1E"/>
    <w:rsid w:val="00DB3DA4"/>
    <w:rsid w:val="00DB3EED"/>
    <w:rsid w:val="00DB3FAD"/>
    <w:rsid w:val="00DB47AB"/>
    <w:rsid w:val="00DB62D2"/>
    <w:rsid w:val="00DB66CA"/>
    <w:rsid w:val="00DB67E7"/>
    <w:rsid w:val="00DB6AC9"/>
    <w:rsid w:val="00DB6B02"/>
    <w:rsid w:val="00DB70B1"/>
    <w:rsid w:val="00DB7117"/>
    <w:rsid w:val="00DB7152"/>
    <w:rsid w:val="00DB74BD"/>
    <w:rsid w:val="00DC09DF"/>
    <w:rsid w:val="00DC0BDB"/>
    <w:rsid w:val="00DC168F"/>
    <w:rsid w:val="00DC1AD3"/>
    <w:rsid w:val="00DC1DA0"/>
    <w:rsid w:val="00DC26A3"/>
    <w:rsid w:val="00DC2EEB"/>
    <w:rsid w:val="00DC45CC"/>
    <w:rsid w:val="00DC4741"/>
    <w:rsid w:val="00DC4E17"/>
    <w:rsid w:val="00DC5AAB"/>
    <w:rsid w:val="00DC5B84"/>
    <w:rsid w:val="00DC62E0"/>
    <w:rsid w:val="00DC6E38"/>
    <w:rsid w:val="00DD00FD"/>
    <w:rsid w:val="00DD03B0"/>
    <w:rsid w:val="00DD1263"/>
    <w:rsid w:val="00DD1778"/>
    <w:rsid w:val="00DD1DFD"/>
    <w:rsid w:val="00DD2892"/>
    <w:rsid w:val="00DD2FBF"/>
    <w:rsid w:val="00DD3594"/>
    <w:rsid w:val="00DD3EE2"/>
    <w:rsid w:val="00DD41DB"/>
    <w:rsid w:val="00DD4342"/>
    <w:rsid w:val="00DD485C"/>
    <w:rsid w:val="00DD5127"/>
    <w:rsid w:val="00DD54BA"/>
    <w:rsid w:val="00DD583E"/>
    <w:rsid w:val="00DD5AB9"/>
    <w:rsid w:val="00DD5F09"/>
    <w:rsid w:val="00DD67D6"/>
    <w:rsid w:val="00DD67E0"/>
    <w:rsid w:val="00DD7227"/>
    <w:rsid w:val="00DD72CB"/>
    <w:rsid w:val="00DD7FF7"/>
    <w:rsid w:val="00DE0080"/>
    <w:rsid w:val="00DE06E6"/>
    <w:rsid w:val="00DE0EA0"/>
    <w:rsid w:val="00DE10D6"/>
    <w:rsid w:val="00DE1665"/>
    <w:rsid w:val="00DE17F9"/>
    <w:rsid w:val="00DE1814"/>
    <w:rsid w:val="00DE18B7"/>
    <w:rsid w:val="00DE308A"/>
    <w:rsid w:val="00DE3C00"/>
    <w:rsid w:val="00DE3CC0"/>
    <w:rsid w:val="00DE450F"/>
    <w:rsid w:val="00DE471A"/>
    <w:rsid w:val="00DE5B4A"/>
    <w:rsid w:val="00DE6606"/>
    <w:rsid w:val="00DE6AD7"/>
    <w:rsid w:val="00DE6B0A"/>
    <w:rsid w:val="00DE714E"/>
    <w:rsid w:val="00DE75BF"/>
    <w:rsid w:val="00DE76B8"/>
    <w:rsid w:val="00DE7C91"/>
    <w:rsid w:val="00DF04BD"/>
    <w:rsid w:val="00DF0B08"/>
    <w:rsid w:val="00DF0FA5"/>
    <w:rsid w:val="00DF16F9"/>
    <w:rsid w:val="00DF1E37"/>
    <w:rsid w:val="00DF1E3C"/>
    <w:rsid w:val="00DF1FB2"/>
    <w:rsid w:val="00DF292F"/>
    <w:rsid w:val="00DF2E86"/>
    <w:rsid w:val="00DF409F"/>
    <w:rsid w:val="00DF49E3"/>
    <w:rsid w:val="00DF5039"/>
    <w:rsid w:val="00DF53FE"/>
    <w:rsid w:val="00DF6248"/>
    <w:rsid w:val="00DF6398"/>
    <w:rsid w:val="00DF63A0"/>
    <w:rsid w:val="00DF643B"/>
    <w:rsid w:val="00DF685A"/>
    <w:rsid w:val="00DF7176"/>
    <w:rsid w:val="00DF7490"/>
    <w:rsid w:val="00DF7978"/>
    <w:rsid w:val="00E009D8"/>
    <w:rsid w:val="00E01A37"/>
    <w:rsid w:val="00E0207A"/>
    <w:rsid w:val="00E0369F"/>
    <w:rsid w:val="00E0435C"/>
    <w:rsid w:val="00E04520"/>
    <w:rsid w:val="00E047BF"/>
    <w:rsid w:val="00E0596A"/>
    <w:rsid w:val="00E05B08"/>
    <w:rsid w:val="00E05FB0"/>
    <w:rsid w:val="00E06098"/>
    <w:rsid w:val="00E060DB"/>
    <w:rsid w:val="00E06773"/>
    <w:rsid w:val="00E072ED"/>
    <w:rsid w:val="00E07447"/>
    <w:rsid w:val="00E075E9"/>
    <w:rsid w:val="00E0773D"/>
    <w:rsid w:val="00E07970"/>
    <w:rsid w:val="00E07C00"/>
    <w:rsid w:val="00E07CC1"/>
    <w:rsid w:val="00E11A27"/>
    <w:rsid w:val="00E11E8B"/>
    <w:rsid w:val="00E12462"/>
    <w:rsid w:val="00E12610"/>
    <w:rsid w:val="00E12767"/>
    <w:rsid w:val="00E1281C"/>
    <w:rsid w:val="00E12B0C"/>
    <w:rsid w:val="00E13344"/>
    <w:rsid w:val="00E1350E"/>
    <w:rsid w:val="00E14379"/>
    <w:rsid w:val="00E14E62"/>
    <w:rsid w:val="00E1566C"/>
    <w:rsid w:val="00E15A33"/>
    <w:rsid w:val="00E15A80"/>
    <w:rsid w:val="00E15D0B"/>
    <w:rsid w:val="00E1610A"/>
    <w:rsid w:val="00E20654"/>
    <w:rsid w:val="00E20E0B"/>
    <w:rsid w:val="00E212D7"/>
    <w:rsid w:val="00E2199A"/>
    <w:rsid w:val="00E21BE2"/>
    <w:rsid w:val="00E227CF"/>
    <w:rsid w:val="00E22918"/>
    <w:rsid w:val="00E23135"/>
    <w:rsid w:val="00E232C4"/>
    <w:rsid w:val="00E2340C"/>
    <w:rsid w:val="00E23ECC"/>
    <w:rsid w:val="00E26757"/>
    <w:rsid w:val="00E26B6D"/>
    <w:rsid w:val="00E26CCE"/>
    <w:rsid w:val="00E27307"/>
    <w:rsid w:val="00E27361"/>
    <w:rsid w:val="00E279D8"/>
    <w:rsid w:val="00E30284"/>
    <w:rsid w:val="00E30648"/>
    <w:rsid w:val="00E3137A"/>
    <w:rsid w:val="00E31FAE"/>
    <w:rsid w:val="00E32ADE"/>
    <w:rsid w:val="00E32C1A"/>
    <w:rsid w:val="00E32D6A"/>
    <w:rsid w:val="00E32FA8"/>
    <w:rsid w:val="00E33217"/>
    <w:rsid w:val="00E338CB"/>
    <w:rsid w:val="00E342E7"/>
    <w:rsid w:val="00E34611"/>
    <w:rsid w:val="00E35208"/>
    <w:rsid w:val="00E36006"/>
    <w:rsid w:val="00E3633A"/>
    <w:rsid w:val="00E36733"/>
    <w:rsid w:val="00E368A1"/>
    <w:rsid w:val="00E373D9"/>
    <w:rsid w:val="00E378F2"/>
    <w:rsid w:val="00E37B78"/>
    <w:rsid w:val="00E400C6"/>
    <w:rsid w:val="00E4065D"/>
    <w:rsid w:val="00E41C88"/>
    <w:rsid w:val="00E41FCD"/>
    <w:rsid w:val="00E42B3D"/>
    <w:rsid w:val="00E42B4D"/>
    <w:rsid w:val="00E43348"/>
    <w:rsid w:val="00E43477"/>
    <w:rsid w:val="00E4471F"/>
    <w:rsid w:val="00E448BB"/>
    <w:rsid w:val="00E456E4"/>
    <w:rsid w:val="00E45A6F"/>
    <w:rsid w:val="00E460CB"/>
    <w:rsid w:val="00E462E9"/>
    <w:rsid w:val="00E46755"/>
    <w:rsid w:val="00E46EDD"/>
    <w:rsid w:val="00E47009"/>
    <w:rsid w:val="00E470F7"/>
    <w:rsid w:val="00E47277"/>
    <w:rsid w:val="00E477D2"/>
    <w:rsid w:val="00E47BA5"/>
    <w:rsid w:val="00E47E14"/>
    <w:rsid w:val="00E50071"/>
    <w:rsid w:val="00E50574"/>
    <w:rsid w:val="00E50682"/>
    <w:rsid w:val="00E5232F"/>
    <w:rsid w:val="00E53553"/>
    <w:rsid w:val="00E5443B"/>
    <w:rsid w:val="00E55669"/>
    <w:rsid w:val="00E55836"/>
    <w:rsid w:val="00E56801"/>
    <w:rsid w:val="00E56BB9"/>
    <w:rsid w:val="00E6070C"/>
    <w:rsid w:val="00E612C6"/>
    <w:rsid w:val="00E61CC4"/>
    <w:rsid w:val="00E62420"/>
    <w:rsid w:val="00E62C64"/>
    <w:rsid w:val="00E63E4A"/>
    <w:rsid w:val="00E64170"/>
    <w:rsid w:val="00E64430"/>
    <w:rsid w:val="00E64866"/>
    <w:rsid w:val="00E64E2D"/>
    <w:rsid w:val="00E650EC"/>
    <w:rsid w:val="00E6534A"/>
    <w:rsid w:val="00E6554A"/>
    <w:rsid w:val="00E65C32"/>
    <w:rsid w:val="00E65F77"/>
    <w:rsid w:val="00E665D0"/>
    <w:rsid w:val="00E6759D"/>
    <w:rsid w:val="00E67618"/>
    <w:rsid w:val="00E67929"/>
    <w:rsid w:val="00E704F3"/>
    <w:rsid w:val="00E70799"/>
    <w:rsid w:val="00E71A62"/>
    <w:rsid w:val="00E71BD3"/>
    <w:rsid w:val="00E71F11"/>
    <w:rsid w:val="00E72580"/>
    <w:rsid w:val="00E729FD"/>
    <w:rsid w:val="00E72D8A"/>
    <w:rsid w:val="00E72D9C"/>
    <w:rsid w:val="00E732C4"/>
    <w:rsid w:val="00E73D4D"/>
    <w:rsid w:val="00E7416F"/>
    <w:rsid w:val="00E74EA5"/>
    <w:rsid w:val="00E75142"/>
    <w:rsid w:val="00E753DC"/>
    <w:rsid w:val="00E7642B"/>
    <w:rsid w:val="00E76527"/>
    <w:rsid w:val="00E766AF"/>
    <w:rsid w:val="00E77827"/>
    <w:rsid w:val="00E77DFD"/>
    <w:rsid w:val="00E808D9"/>
    <w:rsid w:val="00E83596"/>
    <w:rsid w:val="00E83CFA"/>
    <w:rsid w:val="00E83F77"/>
    <w:rsid w:val="00E84D44"/>
    <w:rsid w:val="00E84E78"/>
    <w:rsid w:val="00E8562C"/>
    <w:rsid w:val="00E8667C"/>
    <w:rsid w:val="00E868E0"/>
    <w:rsid w:val="00E8697A"/>
    <w:rsid w:val="00E8749F"/>
    <w:rsid w:val="00E874A2"/>
    <w:rsid w:val="00E876D0"/>
    <w:rsid w:val="00E9099D"/>
    <w:rsid w:val="00E912C9"/>
    <w:rsid w:val="00E91973"/>
    <w:rsid w:val="00E92283"/>
    <w:rsid w:val="00E928E5"/>
    <w:rsid w:val="00E92B6D"/>
    <w:rsid w:val="00E9339B"/>
    <w:rsid w:val="00E93600"/>
    <w:rsid w:val="00E941D9"/>
    <w:rsid w:val="00E945DA"/>
    <w:rsid w:val="00E94640"/>
    <w:rsid w:val="00E94DA4"/>
    <w:rsid w:val="00E950BE"/>
    <w:rsid w:val="00E953E7"/>
    <w:rsid w:val="00E959DC"/>
    <w:rsid w:val="00E959E8"/>
    <w:rsid w:val="00E95BFE"/>
    <w:rsid w:val="00E95F32"/>
    <w:rsid w:val="00E9617D"/>
    <w:rsid w:val="00E96AB2"/>
    <w:rsid w:val="00E9775A"/>
    <w:rsid w:val="00EA06EE"/>
    <w:rsid w:val="00EA07AD"/>
    <w:rsid w:val="00EA152F"/>
    <w:rsid w:val="00EA1555"/>
    <w:rsid w:val="00EA2758"/>
    <w:rsid w:val="00EA2ACD"/>
    <w:rsid w:val="00EA2CE6"/>
    <w:rsid w:val="00EA2D4E"/>
    <w:rsid w:val="00EA2E78"/>
    <w:rsid w:val="00EA33F6"/>
    <w:rsid w:val="00EA37F6"/>
    <w:rsid w:val="00EA3C02"/>
    <w:rsid w:val="00EA3E8C"/>
    <w:rsid w:val="00EA40F1"/>
    <w:rsid w:val="00EA4150"/>
    <w:rsid w:val="00EA59A6"/>
    <w:rsid w:val="00EA5F7B"/>
    <w:rsid w:val="00EA67D5"/>
    <w:rsid w:val="00EA6B28"/>
    <w:rsid w:val="00EA7D77"/>
    <w:rsid w:val="00EB010C"/>
    <w:rsid w:val="00EB05F4"/>
    <w:rsid w:val="00EB0B15"/>
    <w:rsid w:val="00EB0EFB"/>
    <w:rsid w:val="00EB2DE2"/>
    <w:rsid w:val="00EB3039"/>
    <w:rsid w:val="00EB3172"/>
    <w:rsid w:val="00EB3373"/>
    <w:rsid w:val="00EB3834"/>
    <w:rsid w:val="00EB3F88"/>
    <w:rsid w:val="00EB4ED3"/>
    <w:rsid w:val="00EB5566"/>
    <w:rsid w:val="00EB58F0"/>
    <w:rsid w:val="00EB5EBD"/>
    <w:rsid w:val="00EB6284"/>
    <w:rsid w:val="00EB67D8"/>
    <w:rsid w:val="00EB706B"/>
    <w:rsid w:val="00EB7372"/>
    <w:rsid w:val="00EB757E"/>
    <w:rsid w:val="00EB7A4F"/>
    <w:rsid w:val="00EC0703"/>
    <w:rsid w:val="00EC08CF"/>
    <w:rsid w:val="00EC0CDC"/>
    <w:rsid w:val="00EC1332"/>
    <w:rsid w:val="00EC2639"/>
    <w:rsid w:val="00EC2671"/>
    <w:rsid w:val="00EC276F"/>
    <w:rsid w:val="00EC2F73"/>
    <w:rsid w:val="00EC33E1"/>
    <w:rsid w:val="00EC39EF"/>
    <w:rsid w:val="00EC485D"/>
    <w:rsid w:val="00EC4AA8"/>
    <w:rsid w:val="00EC67D2"/>
    <w:rsid w:val="00EC79CC"/>
    <w:rsid w:val="00EC7E5B"/>
    <w:rsid w:val="00ED139A"/>
    <w:rsid w:val="00ED14CE"/>
    <w:rsid w:val="00ED1E09"/>
    <w:rsid w:val="00ED201F"/>
    <w:rsid w:val="00ED22C3"/>
    <w:rsid w:val="00ED2AF4"/>
    <w:rsid w:val="00ED2D40"/>
    <w:rsid w:val="00ED325E"/>
    <w:rsid w:val="00ED337F"/>
    <w:rsid w:val="00ED34A7"/>
    <w:rsid w:val="00ED4C10"/>
    <w:rsid w:val="00ED5A61"/>
    <w:rsid w:val="00ED5A6C"/>
    <w:rsid w:val="00ED6632"/>
    <w:rsid w:val="00ED668C"/>
    <w:rsid w:val="00ED6BF6"/>
    <w:rsid w:val="00ED6C7A"/>
    <w:rsid w:val="00ED749B"/>
    <w:rsid w:val="00ED7591"/>
    <w:rsid w:val="00EE0183"/>
    <w:rsid w:val="00EE0AC7"/>
    <w:rsid w:val="00EE120E"/>
    <w:rsid w:val="00EE176C"/>
    <w:rsid w:val="00EE289E"/>
    <w:rsid w:val="00EE3466"/>
    <w:rsid w:val="00EE34F2"/>
    <w:rsid w:val="00EE43C8"/>
    <w:rsid w:val="00EE446B"/>
    <w:rsid w:val="00EE44AB"/>
    <w:rsid w:val="00EE4599"/>
    <w:rsid w:val="00EE478B"/>
    <w:rsid w:val="00EE54C4"/>
    <w:rsid w:val="00EE6370"/>
    <w:rsid w:val="00EE751C"/>
    <w:rsid w:val="00EE756B"/>
    <w:rsid w:val="00EE78F6"/>
    <w:rsid w:val="00EF0357"/>
    <w:rsid w:val="00EF04A6"/>
    <w:rsid w:val="00EF0711"/>
    <w:rsid w:val="00EF1C40"/>
    <w:rsid w:val="00EF22C8"/>
    <w:rsid w:val="00EF2635"/>
    <w:rsid w:val="00EF26D5"/>
    <w:rsid w:val="00EF27CD"/>
    <w:rsid w:val="00EF4262"/>
    <w:rsid w:val="00EF466D"/>
    <w:rsid w:val="00EF4BBF"/>
    <w:rsid w:val="00EF4E2B"/>
    <w:rsid w:val="00EF5C3F"/>
    <w:rsid w:val="00EF5E40"/>
    <w:rsid w:val="00EF604F"/>
    <w:rsid w:val="00EF686C"/>
    <w:rsid w:val="00EF7753"/>
    <w:rsid w:val="00EF7F10"/>
    <w:rsid w:val="00F006F6"/>
    <w:rsid w:val="00F01834"/>
    <w:rsid w:val="00F024BD"/>
    <w:rsid w:val="00F026BD"/>
    <w:rsid w:val="00F02A05"/>
    <w:rsid w:val="00F02B8F"/>
    <w:rsid w:val="00F039FC"/>
    <w:rsid w:val="00F0403A"/>
    <w:rsid w:val="00F04198"/>
    <w:rsid w:val="00F04D1D"/>
    <w:rsid w:val="00F0590D"/>
    <w:rsid w:val="00F061C4"/>
    <w:rsid w:val="00F0661A"/>
    <w:rsid w:val="00F0703C"/>
    <w:rsid w:val="00F10124"/>
    <w:rsid w:val="00F106DC"/>
    <w:rsid w:val="00F10C31"/>
    <w:rsid w:val="00F11053"/>
    <w:rsid w:val="00F116E8"/>
    <w:rsid w:val="00F1194B"/>
    <w:rsid w:val="00F119CF"/>
    <w:rsid w:val="00F11B71"/>
    <w:rsid w:val="00F120EB"/>
    <w:rsid w:val="00F1220B"/>
    <w:rsid w:val="00F1357D"/>
    <w:rsid w:val="00F13765"/>
    <w:rsid w:val="00F13BC3"/>
    <w:rsid w:val="00F13D9F"/>
    <w:rsid w:val="00F147DC"/>
    <w:rsid w:val="00F15133"/>
    <w:rsid w:val="00F15166"/>
    <w:rsid w:val="00F15627"/>
    <w:rsid w:val="00F15B11"/>
    <w:rsid w:val="00F15E67"/>
    <w:rsid w:val="00F16259"/>
    <w:rsid w:val="00F16341"/>
    <w:rsid w:val="00F20733"/>
    <w:rsid w:val="00F20979"/>
    <w:rsid w:val="00F222DC"/>
    <w:rsid w:val="00F223D7"/>
    <w:rsid w:val="00F22784"/>
    <w:rsid w:val="00F22F29"/>
    <w:rsid w:val="00F23263"/>
    <w:rsid w:val="00F2354F"/>
    <w:rsid w:val="00F237BA"/>
    <w:rsid w:val="00F24ABF"/>
    <w:rsid w:val="00F24B12"/>
    <w:rsid w:val="00F24B9A"/>
    <w:rsid w:val="00F252DB"/>
    <w:rsid w:val="00F25679"/>
    <w:rsid w:val="00F2567E"/>
    <w:rsid w:val="00F26105"/>
    <w:rsid w:val="00F26369"/>
    <w:rsid w:val="00F26B57"/>
    <w:rsid w:val="00F26DB5"/>
    <w:rsid w:val="00F27068"/>
    <w:rsid w:val="00F27865"/>
    <w:rsid w:val="00F27875"/>
    <w:rsid w:val="00F30B2E"/>
    <w:rsid w:val="00F30E75"/>
    <w:rsid w:val="00F30E8D"/>
    <w:rsid w:val="00F31A44"/>
    <w:rsid w:val="00F31FFD"/>
    <w:rsid w:val="00F336E0"/>
    <w:rsid w:val="00F33AC7"/>
    <w:rsid w:val="00F34694"/>
    <w:rsid w:val="00F34BD5"/>
    <w:rsid w:val="00F34C96"/>
    <w:rsid w:val="00F34D19"/>
    <w:rsid w:val="00F3502C"/>
    <w:rsid w:val="00F365C2"/>
    <w:rsid w:val="00F36C98"/>
    <w:rsid w:val="00F37EC9"/>
    <w:rsid w:val="00F400E9"/>
    <w:rsid w:val="00F40E28"/>
    <w:rsid w:val="00F41A58"/>
    <w:rsid w:val="00F423FA"/>
    <w:rsid w:val="00F43490"/>
    <w:rsid w:val="00F43F34"/>
    <w:rsid w:val="00F441C1"/>
    <w:rsid w:val="00F4466C"/>
    <w:rsid w:val="00F44678"/>
    <w:rsid w:val="00F45E4D"/>
    <w:rsid w:val="00F468A2"/>
    <w:rsid w:val="00F5025A"/>
    <w:rsid w:val="00F5082F"/>
    <w:rsid w:val="00F5170C"/>
    <w:rsid w:val="00F51C32"/>
    <w:rsid w:val="00F51E32"/>
    <w:rsid w:val="00F53F22"/>
    <w:rsid w:val="00F54CF5"/>
    <w:rsid w:val="00F55714"/>
    <w:rsid w:val="00F55F73"/>
    <w:rsid w:val="00F57025"/>
    <w:rsid w:val="00F60229"/>
    <w:rsid w:val="00F60887"/>
    <w:rsid w:val="00F61DDA"/>
    <w:rsid w:val="00F635A6"/>
    <w:rsid w:val="00F63D9C"/>
    <w:rsid w:val="00F64EEF"/>
    <w:rsid w:val="00F654F9"/>
    <w:rsid w:val="00F65BCD"/>
    <w:rsid w:val="00F66863"/>
    <w:rsid w:val="00F66F10"/>
    <w:rsid w:val="00F67046"/>
    <w:rsid w:val="00F6741B"/>
    <w:rsid w:val="00F67D09"/>
    <w:rsid w:val="00F7023C"/>
    <w:rsid w:val="00F70E31"/>
    <w:rsid w:val="00F71246"/>
    <w:rsid w:val="00F712D0"/>
    <w:rsid w:val="00F7136A"/>
    <w:rsid w:val="00F723A2"/>
    <w:rsid w:val="00F724AC"/>
    <w:rsid w:val="00F72E09"/>
    <w:rsid w:val="00F74A14"/>
    <w:rsid w:val="00F74BF2"/>
    <w:rsid w:val="00F74C35"/>
    <w:rsid w:val="00F74FBC"/>
    <w:rsid w:val="00F74FDE"/>
    <w:rsid w:val="00F750EB"/>
    <w:rsid w:val="00F76B7B"/>
    <w:rsid w:val="00F76C92"/>
    <w:rsid w:val="00F76E38"/>
    <w:rsid w:val="00F773B7"/>
    <w:rsid w:val="00F77BE9"/>
    <w:rsid w:val="00F77F9F"/>
    <w:rsid w:val="00F80112"/>
    <w:rsid w:val="00F802B6"/>
    <w:rsid w:val="00F80491"/>
    <w:rsid w:val="00F80C9F"/>
    <w:rsid w:val="00F811CC"/>
    <w:rsid w:val="00F815CF"/>
    <w:rsid w:val="00F8168D"/>
    <w:rsid w:val="00F81771"/>
    <w:rsid w:val="00F81B14"/>
    <w:rsid w:val="00F82028"/>
    <w:rsid w:val="00F826D9"/>
    <w:rsid w:val="00F82A44"/>
    <w:rsid w:val="00F82E01"/>
    <w:rsid w:val="00F8327E"/>
    <w:rsid w:val="00F8389C"/>
    <w:rsid w:val="00F83EC2"/>
    <w:rsid w:val="00F84A63"/>
    <w:rsid w:val="00F84BB3"/>
    <w:rsid w:val="00F85BF0"/>
    <w:rsid w:val="00F85CEB"/>
    <w:rsid w:val="00F86AF8"/>
    <w:rsid w:val="00F87300"/>
    <w:rsid w:val="00F877FB"/>
    <w:rsid w:val="00F91A29"/>
    <w:rsid w:val="00F91A7D"/>
    <w:rsid w:val="00F92224"/>
    <w:rsid w:val="00F928A0"/>
    <w:rsid w:val="00F934AE"/>
    <w:rsid w:val="00F93779"/>
    <w:rsid w:val="00F937F1"/>
    <w:rsid w:val="00F94718"/>
    <w:rsid w:val="00F9499A"/>
    <w:rsid w:val="00F956FD"/>
    <w:rsid w:val="00F9631F"/>
    <w:rsid w:val="00F96993"/>
    <w:rsid w:val="00F96AFE"/>
    <w:rsid w:val="00F97324"/>
    <w:rsid w:val="00F97B06"/>
    <w:rsid w:val="00FA0583"/>
    <w:rsid w:val="00FA1360"/>
    <w:rsid w:val="00FA2069"/>
    <w:rsid w:val="00FA2972"/>
    <w:rsid w:val="00FA2B60"/>
    <w:rsid w:val="00FA2CC6"/>
    <w:rsid w:val="00FA2E57"/>
    <w:rsid w:val="00FA33C5"/>
    <w:rsid w:val="00FA3991"/>
    <w:rsid w:val="00FA4AF3"/>
    <w:rsid w:val="00FA4C70"/>
    <w:rsid w:val="00FA5F42"/>
    <w:rsid w:val="00FA6234"/>
    <w:rsid w:val="00FA644E"/>
    <w:rsid w:val="00FA65DE"/>
    <w:rsid w:val="00FA65EA"/>
    <w:rsid w:val="00FA7DE1"/>
    <w:rsid w:val="00FB0488"/>
    <w:rsid w:val="00FB0A42"/>
    <w:rsid w:val="00FB0E17"/>
    <w:rsid w:val="00FB0F26"/>
    <w:rsid w:val="00FB16DD"/>
    <w:rsid w:val="00FB1D74"/>
    <w:rsid w:val="00FB1F78"/>
    <w:rsid w:val="00FB22EC"/>
    <w:rsid w:val="00FB2FA6"/>
    <w:rsid w:val="00FB3172"/>
    <w:rsid w:val="00FB352A"/>
    <w:rsid w:val="00FB37AE"/>
    <w:rsid w:val="00FB3C89"/>
    <w:rsid w:val="00FB47C4"/>
    <w:rsid w:val="00FB49DD"/>
    <w:rsid w:val="00FB51B9"/>
    <w:rsid w:val="00FB58A6"/>
    <w:rsid w:val="00FB63D9"/>
    <w:rsid w:val="00FB6828"/>
    <w:rsid w:val="00FB6A5E"/>
    <w:rsid w:val="00FB74CC"/>
    <w:rsid w:val="00FB74D8"/>
    <w:rsid w:val="00FB7515"/>
    <w:rsid w:val="00FB7A2C"/>
    <w:rsid w:val="00FB7A7B"/>
    <w:rsid w:val="00FC01AA"/>
    <w:rsid w:val="00FC0355"/>
    <w:rsid w:val="00FC0B20"/>
    <w:rsid w:val="00FC0F5D"/>
    <w:rsid w:val="00FC0FAA"/>
    <w:rsid w:val="00FC12A8"/>
    <w:rsid w:val="00FC16D3"/>
    <w:rsid w:val="00FC25A4"/>
    <w:rsid w:val="00FC2992"/>
    <w:rsid w:val="00FC2CDF"/>
    <w:rsid w:val="00FC3515"/>
    <w:rsid w:val="00FC3BE5"/>
    <w:rsid w:val="00FC41E7"/>
    <w:rsid w:val="00FC44DF"/>
    <w:rsid w:val="00FC50D9"/>
    <w:rsid w:val="00FC5A2B"/>
    <w:rsid w:val="00FC6722"/>
    <w:rsid w:val="00FC772B"/>
    <w:rsid w:val="00FC7CE8"/>
    <w:rsid w:val="00FC7D06"/>
    <w:rsid w:val="00FD0133"/>
    <w:rsid w:val="00FD0291"/>
    <w:rsid w:val="00FD0489"/>
    <w:rsid w:val="00FD05AC"/>
    <w:rsid w:val="00FD0B92"/>
    <w:rsid w:val="00FD1233"/>
    <w:rsid w:val="00FD13A5"/>
    <w:rsid w:val="00FD1874"/>
    <w:rsid w:val="00FD1D8F"/>
    <w:rsid w:val="00FD2851"/>
    <w:rsid w:val="00FD3DE9"/>
    <w:rsid w:val="00FD4215"/>
    <w:rsid w:val="00FD4F30"/>
    <w:rsid w:val="00FD6346"/>
    <w:rsid w:val="00FD6885"/>
    <w:rsid w:val="00FD7477"/>
    <w:rsid w:val="00FE011A"/>
    <w:rsid w:val="00FE01F7"/>
    <w:rsid w:val="00FE0746"/>
    <w:rsid w:val="00FE0870"/>
    <w:rsid w:val="00FE1AED"/>
    <w:rsid w:val="00FE24AB"/>
    <w:rsid w:val="00FE261F"/>
    <w:rsid w:val="00FE30E5"/>
    <w:rsid w:val="00FE33C6"/>
    <w:rsid w:val="00FE37BC"/>
    <w:rsid w:val="00FE3BF9"/>
    <w:rsid w:val="00FE41EC"/>
    <w:rsid w:val="00FE43D4"/>
    <w:rsid w:val="00FE44A2"/>
    <w:rsid w:val="00FE4631"/>
    <w:rsid w:val="00FE507C"/>
    <w:rsid w:val="00FE5B7D"/>
    <w:rsid w:val="00FE62EA"/>
    <w:rsid w:val="00FE648C"/>
    <w:rsid w:val="00FE67AB"/>
    <w:rsid w:val="00FE6F1D"/>
    <w:rsid w:val="00FE7046"/>
    <w:rsid w:val="00FE76D0"/>
    <w:rsid w:val="00FE77B2"/>
    <w:rsid w:val="00FF098E"/>
    <w:rsid w:val="00FF0C58"/>
    <w:rsid w:val="00FF13AB"/>
    <w:rsid w:val="00FF1455"/>
    <w:rsid w:val="00FF14C6"/>
    <w:rsid w:val="00FF1969"/>
    <w:rsid w:val="00FF19BD"/>
    <w:rsid w:val="00FF2627"/>
    <w:rsid w:val="00FF2CC9"/>
    <w:rsid w:val="00FF3A5A"/>
    <w:rsid w:val="00FF41FD"/>
    <w:rsid w:val="00FF4EB5"/>
    <w:rsid w:val="00FF531C"/>
    <w:rsid w:val="00FF54A8"/>
    <w:rsid w:val="00FF54F2"/>
    <w:rsid w:val="00FF5646"/>
    <w:rsid w:val="00FF6008"/>
    <w:rsid w:val="00FF69AC"/>
    <w:rsid w:val="00FF6E05"/>
    <w:rsid w:val="00FF7DC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66ABAD"/>
  <w15:docId w15:val="{E223160B-0EA7-489B-8BE3-74E8017B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812E9"/>
    <w:rPr>
      <w:sz w:val="24"/>
      <w:szCs w:val="24"/>
    </w:rPr>
  </w:style>
  <w:style w:type="paragraph" w:styleId="Titolo1">
    <w:name w:val="heading 1"/>
    <w:aliases w:val=" Carattere"/>
    <w:basedOn w:val="Normale"/>
    <w:link w:val="Titolo1Carattere1"/>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E9099D"/>
    <w:rPr>
      <w:rFonts w:ascii="Arial" w:hAnsi="Arial" w:cs="Arial"/>
      <w:color w:val="000000"/>
      <w:sz w:val="20"/>
      <w:szCs w:val="20"/>
    </w:rPr>
  </w:style>
  <w:style w:type="character" w:styleId="Rimandonotaapidipagina">
    <w:name w:val="footnote reference"/>
    <w:aliases w:val="Inf_Note a piè di pagina"/>
    <w:uiPriority w:val="99"/>
    <w:rsid w:val="00E9099D"/>
    <w:rPr>
      <w:vertAlign w:val="superscript"/>
    </w:rPr>
  </w:style>
  <w:style w:type="paragraph" w:customStyle="1" w:styleId="Default">
    <w:name w:val="Default"/>
    <w:link w:val="DefaultCarattere"/>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rsid w:val="00441A1E"/>
    <w:rPr>
      <w:color w:val="0000FF"/>
      <w:u w:val="single"/>
    </w:rPr>
  </w:style>
  <w:style w:type="paragraph" w:styleId="Pidipagina">
    <w:name w:val="footer"/>
    <w:basedOn w:val="Normale"/>
    <w:link w:val="PidipaginaCarattere"/>
    <w:uiPriority w:val="99"/>
    <w:rsid w:val="00104ABF"/>
    <w:pPr>
      <w:tabs>
        <w:tab w:val="center" w:pos="4819"/>
        <w:tab w:val="right" w:pos="9638"/>
      </w:tabs>
    </w:pPr>
  </w:style>
  <w:style w:type="character" w:styleId="Numeropagina">
    <w:name w:val="page number"/>
    <w:basedOn w:val="Carpredefinitoparagrafo"/>
    <w:rsid w:val="00104ABF"/>
  </w:style>
  <w:style w:type="paragraph" w:styleId="Intestazione">
    <w:name w:val="header"/>
    <w:basedOn w:val="Normale"/>
    <w:link w:val="IntestazioneCarattere"/>
    <w:rsid w:val="00633124"/>
    <w:pPr>
      <w:tabs>
        <w:tab w:val="center" w:pos="4819"/>
        <w:tab w:val="right" w:pos="9638"/>
      </w:tabs>
    </w:pPr>
  </w:style>
  <w:style w:type="paragraph" w:styleId="Didascalia">
    <w:name w:val="caption"/>
    <w:basedOn w:val="Normale"/>
    <w:next w:val="Normale"/>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character" w:customStyle="1" w:styleId="Titolo2Carattere">
    <w:name w:val="Titolo 2 Carattere"/>
    <w:basedOn w:val="Carpredefinitoparagrafo"/>
    <w:link w:val="Titolo2"/>
    <w:semiHidden/>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rsid w:val="00200B31"/>
    <w:rPr>
      <w:rFonts w:ascii="Arial" w:hAnsi="Arial"/>
    </w:rPr>
  </w:style>
  <w:style w:type="paragraph" w:styleId="Rientrocorpodeltesto3">
    <w:name w:val="Body Text Indent 3"/>
    <w:basedOn w:val="Normale"/>
    <w:link w:val="Rientrocorpodeltesto3Carattere"/>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00B31"/>
    <w:rPr>
      <w:sz w:val="16"/>
      <w:szCs w:val="16"/>
    </w:rPr>
  </w:style>
  <w:style w:type="character" w:customStyle="1" w:styleId="Titolo4Carattere">
    <w:name w:val="Titolo 4 Carattere"/>
    <w:basedOn w:val="Carpredefinitoparagrafo"/>
    <w:link w:val="Titolo4"/>
    <w:rsid w:val="003113F5"/>
    <w:rPr>
      <w:b/>
      <w:bCs/>
      <w:sz w:val="28"/>
      <w:szCs w:val="28"/>
    </w:rPr>
  </w:style>
  <w:style w:type="character" w:customStyle="1" w:styleId="Titolo5Carattere">
    <w:name w:val="Titolo 5 Carattere"/>
    <w:basedOn w:val="Carpredefinitoparagrafo"/>
    <w:link w:val="Titolo5"/>
    <w:rsid w:val="003113F5"/>
    <w:rPr>
      <w:b/>
      <w:bCs/>
      <w:i/>
      <w:iCs/>
      <w:sz w:val="26"/>
      <w:szCs w:val="26"/>
    </w:rPr>
  </w:style>
  <w:style w:type="character" w:customStyle="1" w:styleId="Titolo6Carattere">
    <w:name w:val="Titolo 6 Carattere"/>
    <w:basedOn w:val="Carpredefinitoparagrafo"/>
    <w:link w:val="Titolo6"/>
    <w:rsid w:val="003113F5"/>
    <w:rPr>
      <w:rFonts w:ascii="Arial" w:hAnsi="Arial"/>
      <w:b/>
      <w:color w:val="000000"/>
      <w:sz w:val="14"/>
    </w:rPr>
  </w:style>
  <w:style w:type="character" w:customStyle="1" w:styleId="Titolo7Carattere">
    <w:name w:val="Titolo 7 Carattere"/>
    <w:basedOn w:val="Carpredefinitoparagrafo"/>
    <w:link w:val="Titolo7"/>
    <w:rsid w:val="003113F5"/>
    <w:rPr>
      <w:rFonts w:ascii="Arial" w:hAnsi="Arial"/>
      <w:b/>
      <w:color w:val="000000"/>
      <w:sz w:val="18"/>
    </w:rPr>
  </w:style>
  <w:style w:type="character" w:customStyle="1" w:styleId="Titolo8Carattere">
    <w:name w:val="Titolo 8 Carattere"/>
    <w:basedOn w:val="Carpredefinitoparagrafo"/>
    <w:link w:val="Titolo8"/>
    <w:rsid w:val="003113F5"/>
    <w:rPr>
      <w:rFonts w:ascii="Arial" w:hAnsi="Arial"/>
      <w:b/>
      <w:sz w:val="18"/>
    </w:rPr>
  </w:style>
  <w:style w:type="character" w:customStyle="1" w:styleId="Titolo9Carattere">
    <w:name w:val="Titolo 9 Carattere"/>
    <w:basedOn w:val="Carpredefinitoparagrafo"/>
    <w:link w:val="Titolo9"/>
    <w:rsid w:val="003113F5"/>
    <w:rPr>
      <w:rFonts w:ascii="Arial" w:hAnsi="Arial"/>
      <w:b/>
      <w:sz w:val="14"/>
    </w:rPr>
  </w:style>
  <w:style w:type="paragraph" w:styleId="Puntoelenco">
    <w:name w:val="List Bullet"/>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3"/>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1"/>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2"/>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39"/>
    <w:rsid w:val="0031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link w:val="ParagrafoelencoCaratter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3113F5"/>
    <w:rPr>
      <w:rFonts w:ascii="Arial" w:hAnsi="Arial" w:cs="Arial"/>
      <w:color w:val="000000"/>
    </w:rPr>
  </w:style>
  <w:style w:type="paragraph" w:customStyle="1" w:styleId="01Titolocapitolo">
    <w:name w:val="01_Titolo capitolo"/>
    <w:basedOn w:val="Paragrafoelenco"/>
    <w:qFormat/>
    <w:rsid w:val="003113F5"/>
    <w:pPr>
      <w:numPr>
        <w:numId w:val="4"/>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5"/>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paragraph" w:styleId="Testocommento">
    <w:name w:val="annotation text"/>
    <w:basedOn w:val="Normale"/>
    <w:link w:val="TestocommentoCarattere"/>
    <w:rsid w:val="003113F5"/>
    <w:rPr>
      <w:sz w:val="20"/>
      <w:szCs w:val="20"/>
    </w:rPr>
  </w:style>
  <w:style w:type="character" w:customStyle="1" w:styleId="TestocommentoCarattere">
    <w:name w:val="Testo commento Carattere"/>
    <w:basedOn w:val="Carpredefinitoparagrafo"/>
    <w:link w:val="Testocommento"/>
    <w:rsid w:val="003113F5"/>
  </w:style>
  <w:style w:type="paragraph" w:styleId="Soggettocommento">
    <w:name w:val="annotation subject"/>
    <w:basedOn w:val="Testocommento"/>
    <w:next w:val="Testocommento"/>
    <w:link w:val="SoggettocommentoCarattere"/>
    <w:rsid w:val="003113F5"/>
    <w:rPr>
      <w:b/>
      <w:bCs/>
    </w:rPr>
  </w:style>
  <w:style w:type="character" w:customStyle="1" w:styleId="SoggettocommentoCarattere">
    <w:name w:val="Soggetto commento Carattere"/>
    <w:basedOn w:val="TestocommentoCarattere"/>
    <w:link w:val="Soggettocommento"/>
    <w:rsid w:val="003113F5"/>
    <w:rPr>
      <w:b/>
      <w:bCs/>
    </w:rPr>
  </w:style>
  <w:style w:type="character" w:styleId="Enfasicorsivo">
    <w:name w:val="Emphasis"/>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rsid w:val="007923A3"/>
    <w:rPr>
      <w:color w:val="800080" w:themeColor="followedHyperlink"/>
      <w:u w:val="single"/>
    </w:rPr>
  </w:style>
  <w:style w:type="character" w:styleId="Rimandonotadichiusura">
    <w:name w:val="endnote reference"/>
    <w:basedOn w:val="Carpredefinitoparagrafo"/>
    <w:rsid w:val="0082249F"/>
    <w:rPr>
      <w:vertAlign w:val="superscript"/>
    </w:rPr>
  </w:style>
  <w:style w:type="paragraph" w:styleId="Corpotesto">
    <w:name w:val="Body Text"/>
    <w:basedOn w:val="Normale"/>
    <w:link w:val="CorpotestoCarattere"/>
    <w:rsid w:val="0016168B"/>
    <w:pPr>
      <w:spacing w:after="120"/>
    </w:pPr>
  </w:style>
  <w:style w:type="character" w:customStyle="1" w:styleId="CorpotestoCarattere">
    <w:name w:val="Corpo testo Carattere"/>
    <w:basedOn w:val="Carpredefinitoparagrafo"/>
    <w:link w:val="Corpotesto"/>
    <w:rsid w:val="0016168B"/>
    <w:rPr>
      <w:sz w:val="24"/>
      <w:szCs w:val="24"/>
    </w:rPr>
  </w:style>
  <w:style w:type="paragraph" w:styleId="Corpodeltesto2">
    <w:name w:val="Body Text 2"/>
    <w:basedOn w:val="Normale"/>
    <w:link w:val="Corpodeltesto2Carattere"/>
    <w:rsid w:val="0016168B"/>
    <w:pPr>
      <w:spacing w:after="120" w:line="480" w:lineRule="auto"/>
    </w:pPr>
  </w:style>
  <w:style w:type="character" w:customStyle="1" w:styleId="Corpodeltesto2Carattere">
    <w:name w:val="Corpo del testo 2 Carattere"/>
    <w:basedOn w:val="Carpredefinitoparagrafo"/>
    <w:link w:val="Corpodeltesto2"/>
    <w:rsid w:val="0016168B"/>
    <w:rPr>
      <w:sz w:val="24"/>
      <w:szCs w:val="24"/>
    </w:rPr>
  </w:style>
  <w:style w:type="paragraph" w:styleId="Corpodeltesto3">
    <w:name w:val="Body Text 3"/>
    <w:basedOn w:val="Normale"/>
    <w:link w:val="Corpodeltesto3Carattere"/>
    <w:rsid w:val="0016168B"/>
    <w:pPr>
      <w:spacing w:after="120"/>
    </w:pPr>
    <w:rPr>
      <w:sz w:val="16"/>
      <w:szCs w:val="16"/>
    </w:rPr>
  </w:style>
  <w:style w:type="character" w:customStyle="1" w:styleId="Corpodeltesto3Carattere">
    <w:name w:val="Corpo del testo 3 Carattere"/>
    <w:basedOn w:val="Carpredefinitoparagrafo"/>
    <w:link w:val="Corpodeltesto3"/>
    <w:rsid w:val="0016168B"/>
    <w:rPr>
      <w:sz w:val="16"/>
      <w:szCs w:val="16"/>
    </w:rPr>
  </w:style>
  <w:style w:type="paragraph" w:customStyle="1" w:styleId="Rientrocorpodeltesto31">
    <w:name w:val="Rientro corpo del testo 31"/>
    <w:basedOn w:val="Normale"/>
    <w:uiPriority w:val="99"/>
    <w:rsid w:val="00DD1D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szCs w:val="20"/>
      <w:lang w:eastAsia="ar-SA"/>
    </w:rPr>
  </w:style>
  <w:style w:type="character" w:styleId="Enfasigrassetto">
    <w:name w:val="Strong"/>
    <w:basedOn w:val="Carpredefinitoparagrafo"/>
    <w:uiPriority w:val="22"/>
    <w:qFormat/>
    <w:rsid w:val="00A65B5F"/>
    <w:rPr>
      <w:b/>
      <w:bCs/>
    </w:rPr>
  </w:style>
  <w:style w:type="paragraph" w:customStyle="1" w:styleId="00TitoloParNumerato">
    <w:name w:val="00 Titolo_Par_Numerato"/>
    <w:basedOn w:val="Paragrafoelenco"/>
    <w:link w:val="00TitoloParNumeratoCarattere"/>
    <w:qFormat/>
    <w:rsid w:val="00BA24AA"/>
    <w:pPr>
      <w:spacing w:before="360" w:after="120"/>
      <w:ind w:left="0"/>
      <w:jc w:val="both"/>
    </w:pPr>
    <w:rPr>
      <w:rFonts w:ascii="Arial" w:eastAsiaTheme="minorHAnsi" w:hAnsi="Arial" w:cs="Arial"/>
      <w:b/>
      <w:lang w:eastAsia="en-US"/>
    </w:rPr>
  </w:style>
  <w:style w:type="paragraph" w:customStyle="1" w:styleId="Par">
    <w:name w:val="Par"/>
    <w:basedOn w:val="Default"/>
    <w:link w:val="ParCarattere"/>
    <w:qFormat/>
    <w:rsid w:val="00BA24AA"/>
    <w:pPr>
      <w:spacing w:after="120"/>
      <w:ind w:left="1843"/>
      <w:jc w:val="both"/>
    </w:pPr>
    <w:rPr>
      <w:sz w:val="20"/>
      <w:szCs w:val="20"/>
    </w:rPr>
  </w:style>
  <w:style w:type="paragraph" w:customStyle="1" w:styleId="00TitProspetto">
    <w:name w:val="00 Tit_Prospetto"/>
    <w:basedOn w:val="Default"/>
    <w:link w:val="00TitProspettoCarattere"/>
    <w:rsid w:val="002A3C2E"/>
    <w:pPr>
      <w:ind w:left="1843"/>
      <w:contextualSpacing/>
      <w:jc w:val="both"/>
    </w:pPr>
    <w:rPr>
      <w:rFonts w:ascii="Arial Narrow" w:hAnsi="Arial Narrow"/>
      <w:b/>
      <w:bCs/>
      <w:caps/>
      <w:color w:val="808080" w:themeColor="background1" w:themeShade="80"/>
      <w:sz w:val="20"/>
      <w:szCs w:val="20"/>
    </w:rPr>
  </w:style>
  <w:style w:type="paragraph" w:customStyle="1" w:styleId="00SottotitProspFig">
    <w:name w:val="00 Sottotit_Prosp_Fig"/>
    <w:basedOn w:val="Default"/>
    <w:qFormat/>
    <w:rsid w:val="00BA24AA"/>
    <w:pPr>
      <w:ind w:left="1843"/>
      <w:jc w:val="both"/>
    </w:pPr>
    <w:rPr>
      <w:rFonts w:ascii="Arial Narrow" w:hAnsi="Arial Narrow"/>
      <w:sz w:val="19"/>
      <w:szCs w:val="19"/>
    </w:rPr>
  </w:style>
  <w:style w:type="paragraph" w:customStyle="1" w:styleId="Prospetto">
    <w:name w:val="Prospetto"/>
    <w:basedOn w:val="Normale"/>
    <w:qFormat/>
    <w:rsid w:val="00BA24AA"/>
    <w:pPr>
      <w:framePr w:hSpace="141" w:wrap="around" w:vAnchor="text" w:hAnchor="page" w:x="2596" w:y="483"/>
      <w:jc w:val="right"/>
    </w:pPr>
    <w:rPr>
      <w:rFonts w:ascii="Arial Narrow" w:hAnsi="Arial Narrow"/>
      <w:b/>
      <w:bCs/>
      <w:sz w:val="18"/>
      <w:szCs w:val="18"/>
    </w:rPr>
  </w:style>
  <w:style w:type="table" w:customStyle="1" w:styleId="00Tab">
    <w:name w:val="00 Tab"/>
    <w:basedOn w:val="Tabellanormale"/>
    <w:uiPriority w:val="99"/>
    <w:rsid w:val="00CA4384"/>
    <w:rPr>
      <w:rFonts w:ascii="Arial Narrow" w:hAnsi="Arial Narrow"/>
      <w:sz w:val="18"/>
    </w:rPr>
    <w:tblPr>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style>
  <w:style w:type="table" w:customStyle="1" w:styleId="00TabColonneAltern">
    <w:name w:val="00 Tab_Colonne_Altern"/>
    <w:basedOn w:val="Tabellanormale"/>
    <w:uiPriority w:val="99"/>
    <w:rsid w:val="009671B4"/>
    <w:pPr>
      <w:jc w:val="right"/>
    </w:pPr>
    <w:rPr>
      <w:rFonts w:ascii="Arial Narrow" w:hAnsi="Arial Narrow"/>
      <w:sz w:val="18"/>
    </w:rPr>
    <w:tblPr>
      <w:tblStyleColBandSize w:val="1"/>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tcPr>
      <w:shd w:val="clear" w:color="auto" w:fill="auto"/>
      <w:vAlign w:val="bottom"/>
    </w:tcPr>
    <w:tblStylePr w:type="band2Vert">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00Titolofocus">
    <w:name w:val="00 Titolo focus"/>
    <w:basedOn w:val="Testonormale"/>
    <w:link w:val="00TitolofocusCarattere"/>
    <w:qFormat/>
    <w:rsid w:val="00206F1B"/>
    <w:pPr>
      <w:tabs>
        <w:tab w:val="left" w:pos="8001"/>
      </w:tabs>
      <w:spacing w:before="400"/>
      <w:ind w:left="1843"/>
    </w:pPr>
    <w:rPr>
      <w:rFonts w:ascii="Arial Narrow" w:hAnsi="Arial Narrow" w:cs="Arial"/>
      <w:b/>
      <w:color w:val="595959"/>
      <w:sz w:val="40"/>
      <w:szCs w:val="40"/>
    </w:rPr>
  </w:style>
  <w:style w:type="paragraph" w:customStyle="1" w:styleId="00Sottotitolofocus">
    <w:name w:val="00 Sottotitolo focus"/>
    <w:basedOn w:val="Normale"/>
    <w:link w:val="00SottotitolofocusCarattere"/>
    <w:qFormat/>
    <w:rsid w:val="00206F1B"/>
    <w:pPr>
      <w:spacing w:after="600"/>
      <w:ind w:left="1843"/>
      <w:jc w:val="both"/>
    </w:pPr>
    <w:rPr>
      <w:rFonts w:ascii="Arial" w:hAnsi="Arial" w:cs="Arial"/>
    </w:rPr>
  </w:style>
  <w:style w:type="character" w:customStyle="1" w:styleId="00TitolofocusCarattere">
    <w:name w:val="00 Titolo focus Carattere"/>
    <w:basedOn w:val="TestonormaleCarattere"/>
    <w:link w:val="00Titolofocus"/>
    <w:rsid w:val="00206F1B"/>
    <w:rPr>
      <w:rFonts w:ascii="Arial Narrow" w:hAnsi="Arial Narrow" w:cs="Arial"/>
      <w:b/>
      <w:color w:val="595959"/>
      <w:sz w:val="40"/>
      <w:szCs w:val="40"/>
    </w:rPr>
  </w:style>
  <w:style w:type="paragraph" w:customStyle="1" w:styleId="00Titoloparnonnum">
    <w:name w:val="00 Titolo par non num"/>
    <w:basedOn w:val="Normale"/>
    <w:link w:val="00TitoloparnonnumCarattere"/>
    <w:qFormat/>
    <w:rsid w:val="00206F1B"/>
    <w:pPr>
      <w:spacing w:before="360" w:after="120" w:line="276" w:lineRule="auto"/>
      <w:ind w:left="1843"/>
      <w:jc w:val="both"/>
    </w:pPr>
    <w:rPr>
      <w:rFonts w:ascii="Arial" w:eastAsiaTheme="minorHAnsi" w:hAnsi="Arial" w:cs="Arial"/>
      <w:b/>
      <w:sz w:val="22"/>
      <w:szCs w:val="22"/>
      <w:lang w:eastAsia="en-US"/>
    </w:rPr>
  </w:style>
  <w:style w:type="character" w:customStyle="1" w:styleId="00SottotitolofocusCarattere">
    <w:name w:val="00 Sottotitolo focus Carattere"/>
    <w:basedOn w:val="Carpredefinitoparagrafo"/>
    <w:link w:val="00Sottotitolofocus"/>
    <w:rsid w:val="00206F1B"/>
    <w:rPr>
      <w:rFonts w:ascii="Arial" w:hAnsi="Arial" w:cs="Arial"/>
      <w:sz w:val="24"/>
      <w:szCs w:val="24"/>
    </w:rPr>
  </w:style>
  <w:style w:type="paragraph" w:customStyle="1" w:styleId="00Corpoparagrafo">
    <w:name w:val="00 Corpo paragrafo"/>
    <w:basedOn w:val="Par"/>
    <w:link w:val="00CorpoparagrafoCarattere"/>
    <w:qFormat/>
    <w:rsid w:val="00206F1B"/>
  </w:style>
  <w:style w:type="character" w:customStyle="1" w:styleId="00TitoloparnonnumCarattere">
    <w:name w:val="00 Titolo par non num Carattere"/>
    <w:basedOn w:val="Carpredefinitoparagrafo"/>
    <w:link w:val="00Titoloparnonnum"/>
    <w:rsid w:val="00206F1B"/>
    <w:rPr>
      <w:rFonts w:ascii="Arial" w:eastAsiaTheme="minorHAnsi" w:hAnsi="Arial" w:cs="Arial"/>
      <w:b/>
      <w:sz w:val="22"/>
      <w:szCs w:val="22"/>
      <w:lang w:eastAsia="en-US"/>
    </w:rPr>
  </w:style>
  <w:style w:type="paragraph" w:customStyle="1" w:styleId="00Titoloparagrnumerato">
    <w:name w:val="00 Titolo paragr numerato"/>
    <w:basedOn w:val="00TitoloParNumerato"/>
    <w:link w:val="00TitoloparagrnumeratoCarattere"/>
    <w:qFormat/>
    <w:rsid w:val="00206F1B"/>
    <w:pPr>
      <w:numPr>
        <w:numId w:val="6"/>
      </w:numPr>
      <w:ind w:left="1843" w:firstLine="0"/>
    </w:pPr>
  </w:style>
  <w:style w:type="character" w:customStyle="1" w:styleId="DefaultCarattere">
    <w:name w:val="Default Carattere"/>
    <w:basedOn w:val="Carpredefinitoparagrafo"/>
    <w:link w:val="Default"/>
    <w:rsid w:val="00206F1B"/>
    <w:rPr>
      <w:rFonts w:ascii="Arial" w:hAnsi="Arial" w:cs="Arial"/>
      <w:color w:val="000000"/>
      <w:sz w:val="24"/>
      <w:szCs w:val="24"/>
    </w:rPr>
  </w:style>
  <w:style w:type="character" w:customStyle="1" w:styleId="ParCarattere">
    <w:name w:val="Par Carattere"/>
    <w:basedOn w:val="DefaultCarattere"/>
    <w:link w:val="Par"/>
    <w:rsid w:val="00206F1B"/>
    <w:rPr>
      <w:rFonts w:ascii="Arial" w:hAnsi="Arial" w:cs="Arial"/>
      <w:color w:val="000000"/>
      <w:sz w:val="24"/>
      <w:szCs w:val="24"/>
    </w:rPr>
  </w:style>
  <w:style w:type="character" w:customStyle="1" w:styleId="00CorpoparagrafoCarattere">
    <w:name w:val="00 Corpo paragrafo Carattere"/>
    <w:basedOn w:val="ParCarattere"/>
    <w:link w:val="00Corpoparagrafo"/>
    <w:rsid w:val="00206F1B"/>
    <w:rPr>
      <w:rFonts w:ascii="Arial" w:hAnsi="Arial" w:cs="Arial"/>
      <w:color w:val="000000"/>
      <w:sz w:val="24"/>
      <w:szCs w:val="24"/>
    </w:rPr>
  </w:style>
  <w:style w:type="paragraph" w:customStyle="1" w:styleId="00Titolosottoparnumerato">
    <w:name w:val="00 Titolo sottopar numerato"/>
    <w:basedOn w:val="00TitoloParNumerato"/>
    <w:link w:val="00TitolosottoparnumeratoCarattere"/>
    <w:qFormat/>
    <w:rsid w:val="00206F1B"/>
    <w:pPr>
      <w:numPr>
        <w:ilvl w:val="1"/>
        <w:numId w:val="6"/>
      </w:numPr>
      <w:tabs>
        <w:tab w:val="left" w:pos="2410"/>
      </w:tabs>
      <w:spacing w:before="120"/>
      <w:ind w:left="1985" w:firstLine="0"/>
    </w:pPr>
  </w:style>
  <w:style w:type="character" w:customStyle="1" w:styleId="ParagrafoelencoCarattere">
    <w:name w:val="Paragrafo elenco Carattere"/>
    <w:basedOn w:val="Carpredefinitoparagrafo"/>
    <w:link w:val="Paragrafoelenco"/>
    <w:uiPriority w:val="34"/>
    <w:rsid w:val="00206F1B"/>
    <w:rPr>
      <w:rFonts w:ascii="Calibri" w:hAnsi="Calibri"/>
      <w:sz w:val="22"/>
      <w:szCs w:val="22"/>
    </w:rPr>
  </w:style>
  <w:style w:type="character" w:customStyle="1" w:styleId="00TitoloParNumeratoCarattere">
    <w:name w:val="00 Titolo_Par_Numerato Carattere"/>
    <w:basedOn w:val="ParagrafoelencoCarattere"/>
    <w:link w:val="00TitoloParNumerato"/>
    <w:rsid w:val="00206F1B"/>
    <w:rPr>
      <w:rFonts w:ascii="Arial" w:eastAsiaTheme="minorHAnsi" w:hAnsi="Arial" w:cs="Arial"/>
      <w:b/>
      <w:sz w:val="22"/>
      <w:szCs w:val="22"/>
      <w:lang w:eastAsia="en-US"/>
    </w:rPr>
  </w:style>
  <w:style w:type="character" w:customStyle="1" w:styleId="00TitoloparagrnumeratoCarattere">
    <w:name w:val="00 Titolo paragr numerato Carattere"/>
    <w:basedOn w:val="00TitoloParNumeratoCarattere"/>
    <w:link w:val="00Titoloparagrnumerato"/>
    <w:rsid w:val="00206F1B"/>
    <w:rPr>
      <w:rFonts w:ascii="Arial" w:eastAsiaTheme="minorHAnsi" w:hAnsi="Arial" w:cs="Arial"/>
      <w:b/>
      <w:sz w:val="22"/>
      <w:szCs w:val="22"/>
      <w:lang w:eastAsia="en-US"/>
    </w:rPr>
  </w:style>
  <w:style w:type="character" w:customStyle="1" w:styleId="00TitolosottoparnumeratoCarattere">
    <w:name w:val="00 Titolo sottopar numerato Carattere"/>
    <w:basedOn w:val="00TitoloParNumeratoCarattere"/>
    <w:link w:val="00Titolosottoparnumerato"/>
    <w:rsid w:val="00206F1B"/>
    <w:rPr>
      <w:rFonts w:ascii="Arial" w:eastAsiaTheme="minorHAnsi" w:hAnsi="Arial" w:cs="Arial"/>
      <w:b/>
      <w:sz w:val="22"/>
      <w:szCs w:val="22"/>
      <w:lang w:eastAsia="en-US"/>
    </w:rPr>
  </w:style>
  <w:style w:type="paragraph" w:customStyle="1" w:styleId="00TitoloProspettoFigura">
    <w:name w:val="00 Titolo Prospetto  Figura"/>
    <w:basedOn w:val="00TitProspetto"/>
    <w:link w:val="00TitoloProspettoFiguraCarattere"/>
    <w:qFormat/>
    <w:rsid w:val="00536462"/>
  </w:style>
  <w:style w:type="character" w:customStyle="1" w:styleId="00TitProspettoCarattere">
    <w:name w:val="00 Tit_Prospetto Carattere"/>
    <w:basedOn w:val="DefaultCarattere"/>
    <w:link w:val="00TitProspetto"/>
    <w:rsid w:val="00206F1B"/>
    <w:rPr>
      <w:rFonts w:ascii="Arial Narrow" w:hAnsi="Arial Narrow" w:cs="Arial"/>
      <w:b/>
      <w:bCs/>
      <w:caps/>
      <w:color w:val="808080" w:themeColor="background1" w:themeShade="80"/>
      <w:sz w:val="24"/>
      <w:szCs w:val="24"/>
    </w:rPr>
  </w:style>
  <w:style w:type="character" w:customStyle="1" w:styleId="00TitoloProspettoFiguraCarattere">
    <w:name w:val="00 Titolo Prospetto  Figura Carattere"/>
    <w:basedOn w:val="00TitProspettoCarattere"/>
    <w:link w:val="00TitoloProspettoFigura"/>
    <w:rsid w:val="00536462"/>
    <w:rPr>
      <w:rFonts w:ascii="Arial Narrow" w:hAnsi="Arial Narrow" w:cs="Arial"/>
      <w:b/>
      <w:bCs/>
      <w:caps/>
      <w:color w:val="808080" w:themeColor="background1" w:themeShade="80"/>
      <w:sz w:val="24"/>
      <w:szCs w:val="24"/>
    </w:rPr>
  </w:style>
  <w:style w:type="paragraph" w:styleId="Testofumetto">
    <w:name w:val="Balloon Text"/>
    <w:basedOn w:val="Normale"/>
    <w:link w:val="TestofumettoCarattere"/>
    <w:uiPriority w:val="99"/>
    <w:semiHidden/>
    <w:unhideWhenUsed/>
    <w:rsid w:val="009F67C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67C5"/>
    <w:rPr>
      <w:rFonts w:ascii="Segoe UI" w:hAnsi="Segoe UI" w:cs="Segoe UI"/>
      <w:sz w:val="18"/>
      <w:szCs w:val="18"/>
    </w:rPr>
  </w:style>
  <w:style w:type="character" w:styleId="Rimandocommento">
    <w:name w:val="annotation reference"/>
    <w:basedOn w:val="Carpredefinitoparagrafo"/>
    <w:uiPriority w:val="99"/>
    <w:semiHidden/>
    <w:unhideWhenUsed/>
    <w:rsid w:val="00E477D2"/>
    <w:rPr>
      <w:sz w:val="16"/>
      <w:szCs w:val="16"/>
    </w:rPr>
  </w:style>
  <w:style w:type="character" w:customStyle="1" w:styleId="fontstyle01">
    <w:name w:val="fontstyle01"/>
    <w:basedOn w:val="Carpredefinitoparagrafo"/>
    <w:rsid w:val="00E704F3"/>
    <w:rPr>
      <w:rFonts w:ascii="TrebuchetMS-Bold" w:hAnsi="TrebuchetMS-Bold" w:hint="default"/>
      <w:b/>
      <w:bCs/>
      <w:i w:val="0"/>
      <w:iCs w:val="0"/>
      <w:color w:val="5F5F5F"/>
      <w:sz w:val="22"/>
      <w:szCs w:val="22"/>
    </w:rPr>
  </w:style>
  <w:style w:type="character" w:styleId="Testosegnaposto">
    <w:name w:val="Placeholder Text"/>
    <w:basedOn w:val="Carpredefinitoparagrafo"/>
    <w:uiPriority w:val="99"/>
    <w:semiHidden/>
    <w:rsid w:val="00F82A44"/>
    <w:rPr>
      <w:color w:val="808080"/>
    </w:rPr>
  </w:style>
  <w:style w:type="character" w:customStyle="1" w:styleId="cf01">
    <w:name w:val="cf01"/>
    <w:basedOn w:val="Carpredefinitoparagrafo"/>
    <w:rsid w:val="005E66F8"/>
    <w:rPr>
      <w:rFonts w:ascii="Segoe UI" w:hAnsi="Segoe UI" w:cs="Segoe UI" w:hint="default"/>
      <w:sz w:val="18"/>
      <w:szCs w:val="18"/>
    </w:rPr>
  </w:style>
  <w:style w:type="character" w:customStyle="1" w:styleId="Menzionenonrisolta1">
    <w:name w:val="Menzione non risolta1"/>
    <w:basedOn w:val="Carpredefinitoparagrafo"/>
    <w:uiPriority w:val="99"/>
    <w:semiHidden/>
    <w:unhideWhenUsed/>
    <w:rsid w:val="009A1D80"/>
    <w:rPr>
      <w:color w:val="605E5C"/>
      <w:shd w:val="clear" w:color="auto" w:fill="E1DFDD"/>
    </w:rPr>
  </w:style>
  <w:style w:type="character" w:customStyle="1" w:styleId="Menzionenonrisolta2">
    <w:name w:val="Menzione non risolta2"/>
    <w:basedOn w:val="Carpredefinitoparagrafo"/>
    <w:uiPriority w:val="99"/>
    <w:semiHidden/>
    <w:unhideWhenUsed/>
    <w:rsid w:val="00D6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069">
      <w:bodyDiv w:val="1"/>
      <w:marLeft w:val="0"/>
      <w:marRight w:val="0"/>
      <w:marTop w:val="0"/>
      <w:marBottom w:val="0"/>
      <w:divBdr>
        <w:top w:val="none" w:sz="0" w:space="0" w:color="auto"/>
        <w:left w:val="none" w:sz="0" w:space="0" w:color="auto"/>
        <w:bottom w:val="none" w:sz="0" w:space="0" w:color="auto"/>
        <w:right w:val="none" w:sz="0" w:space="0" w:color="auto"/>
      </w:divBdr>
    </w:div>
    <w:div w:id="10229390">
      <w:bodyDiv w:val="1"/>
      <w:marLeft w:val="0"/>
      <w:marRight w:val="0"/>
      <w:marTop w:val="0"/>
      <w:marBottom w:val="0"/>
      <w:divBdr>
        <w:top w:val="none" w:sz="0" w:space="0" w:color="auto"/>
        <w:left w:val="none" w:sz="0" w:space="0" w:color="auto"/>
        <w:bottom w:val="none" w:sz="0" w:space="0" w:color="auto"/>
        <w:right w:val="none" w:sz="0" w:space="0" w:color="auto"/>
      </w:divBdr>
    </w:div>
    <w:div w:id="13653520">
      <w:bodyDiv w:val="1"/>
      <w:marLeft w:val="0"/>
      <w:marRight w:val="0"/>
      <w:marTop w:val="0"/>
      <w:marBottom w:val="0"/>
      <w:divBdr>
        <w:top w:val="none" w:sz="0" w:space="0" w:color="auto"/>
        <w:left w:val="none" w:sz="0" w:space="0" w:color="auto"/>
        <w:bottom w:val="none" w:sz="0" w:space="0" w:color="auto"/>
        <w:right w:val="none" w:sz="0" w:space="0" w:color="auto"/>
      </w:divBdr>
    </w:div>
    <w:div w:id="17511474">
      <w:bodyDiv w:val="1"/>
      <w:marLeft w:val="0"/>
      <w:marRight w:val="0"/>
      <w:marTop w:val="0"/>
      <w:marBottom w:val="0"/>
      <w:divBdr>
        <w:top w:val="none" w:sz="0" w:space="0" w:color="auto"/>
        <w:left w:val="none" w:sz="0" w:space="0" w:color="auto"/>
        <w:bottom w:val="none" w:sz="0" w:space="0" w:color="auto"/>
        <w:right w:val="none" w:sz="0" w:space="0" w:color="auto"/>
      </w:divBdr>
    </w:div>
    <w:div w:id="23411847">
      <w:bodyDiv w:val="1"/>
      <w:marLeft w:val="0"/>
      <w:marRight w:val="0"/>
      <w:marTop w:val="0"/>
      <w:marBottom w:val="0"/>
      <w:divBdr>
        <w:top w:val="none" w:sz="0" w:space="0" w:color="auto"/>
        <w:left w:val="none" w:sz="0" w:space="0" w:color="auto"/>
        <w:bottom w:val="none" w:sz="0" w:space="0" w:color="auto"/>
        <w:right w:val="none" w:sz="0" w:space="0" w:color="auto"/>
      </w:divBdr>
    </w:div>
    <w:div w:id="23872057">
      <w:bodyDiv w:val="1"/>
      <w:marLeft w:val="0"/>
      <w:marRight w:val="0"/>
      <w:marTop w:val="0"/>
      <w:marBottom w:val="0"/>
      <w:divBdr>
        <w:top w:val="none" w:sz="0" w:space="0" w:color="auto"/>
        <w:left w:val="none" w:sz="0" w:space="0" w:color="auto"/>
        <w:bottom w:val="none" w:sz="0" w:space="0" w:color="auto"/>
        <w:right w:val="none" w:sz="0" w:space="0" w:color="auto"/>
      </w:divBdr>
    </w:div>
    <w:div w:id="34158557">
      <w:bodyDiv w:val="1"/>
      <w:marLeft w:val="0"/>
      <w:marRight w:val="0"/>
      <w:marTop w:val="0"/>
      <w:marBottom w:val="0"/>
      <w:divBdr>
        <w:top w:val="none" w:sz="0" w:space="0" w:color="auto"/>
        <w:left w:val="none" w:sz="0" w:space="0" w:color="auto"/>
        <w:bottom w:val="none" w:sz="0" w:space="0" w:color="auto"/>
        <w:right w:val="none" w:sz="0" w:space="0" w:color="auto"/>
      </w:divBdr>
    </w:div>
    <w:div w:id="38827447">
      <w:bodyDiv w:val="1"/>
      <w:marLeft w:val="0"/>
      <w:marRight w:val="0"/>
      <w:marTop w:val="0"/>
      <w:marBottom w:val="0"/>
      <w:divBdr>
        <w:top w:val="none" w:sz="0" w:space="0" w:color="auto"/>
        <w:left w:val="none" w:sz="0" w:space="0" w:color="auto"/>
        <w:bottom w:val="none" w:sz="0" w:space="0" w:color="auto"/>
        <w:right w:val="none" w:sz="0" w:space="0" w:color="auto"/>
      </w:divBdr>
    </w:div>
    <w:div w:id="40330730">
      <w:bodyDiv w:val="1"/>
      <w:marLeft w:val="0"/>
      <w:marRight w:val="0"/>
      <w:marTop w:val="0"/>
      <w:marBottom w:val="0"/>
      <w:divBdr>
        <w:top w:val="none" w:sz="0" w:space="0" w:color="auto"/>
        <w:left w:val="none" w:sz="0" w:space="0" w:color="auto"/>
        <w:bottom w:val="none" w:sz="0" w:space="0" w:color="auto"/>
        <w:right w:val="none" w:sz="0" w:space="0" w:color="auto"/>
      </w:divBdr>
    </w:div>
    <w:div w:id="45881608">
      <w:bodyDiv w:val="1"/>
      <w:marLeft w:val="0"/>
      <w:marRight w:val="0"/>
      <w:marTop w:val="0"/>
      <w:marBottom w:val="0"/>
      <w:divBdr>
        <w:top w:val="none" w:sz="0" w:space="0" w:color="auto"/>
        <w:left w:val="none" w:sz="0" w:space="0" w:color="auto"/>
        <w:bottom w:val="none" w:sz="0" w:space="0" w:color="auto"/>
        <w:right w:val="none" w:sz="0" w:space="0" w:color="auto"/>
      </w:divBdr>
    </w:div>
    <w:div w:id="48774446">
      <w:bodyDiv w:val="1"/>
      <w:marLeft w:val="0"/>
      <w:marRight w:val="0"/>
      <w:marTop w:val="0"/>
      <w:marBottom w:val="0"/>
      <w:divBdr>
        <w:top w:val="none" w:sz="0" w:space="0" w:color="auto"/>
        <w:left w:val="none" w:sz="0" w:space="0" w:color="auto"/>
        <w:bottom w:val="none" w:sz="0" w:space="0" w:color="auto"/>
        <w:right w:val="none" w:sz="0" w:space="0" w:color="auto"/>
      </w:divBdr>
    </w:div>
    <w:div w:id="56827436">
      <w:bodyDiv w:val="1"/>
      <w:marLeft w:val="0"/>
      <w:marRight w:val="0"/>
      <w:marTop w:val="0"/>
      <w:marBottom w:val="0"/>
      <w:divBdr>
        <w:top w:val="none" w:sz="0" w:space="0" w:color="auto"/>
        <w:left w:val="none" w:sz="0" w:space="0" w:color="auto"/>
        <w:bottom w:val="none" w:sz="0" w:space="0" w:color="auto"/>
        <w:right w:val="none" w:sz="0" w:space="0" w:color="auto"/>
      </w:divBdr>
    </w:div>
    <w:div w:id="59523199">
      <w:bodyDiv w:val="1"/>
      <w:marLeft w:val="0"/>
      <w:marRight w:val="0"/>
      <w:marTop w:val="0"/>
      <w:marBottom w:val="0"/>
      <w:divBdr>
        <w:top w:val="none" w:sz="0" w:space="0" w:color="auto"/>
        <w:left w:val="none" w:sz="0" w:space="0" w:color="auto"/>
        <w:bottom w:val="none" w:sz="0" w:space="0" w:color="auto"/>
        <w:right w:val="none" w:sz="0" w:space="0" w:color="auto"/>
      </w:divBdr>
    </w:div>
    <w:div w:id="60254291">
      <w:bodyDiv w:val="1"/>
      <w:marLeft w:val="0"/>
      <w:marRight w:val="0"/>
      <w:marTop w:val="0"/>
      <w:marBottom w:val="0"/>
      <w:divBdr>
        <w:top w:val="none" w:sz="0" w:space="0" w:color="auto"/>
        <w:left w:val="none" w:sz="0" w:space="0" w:color="auto"/>
        <w:bottom w:val="none" w:sz="0" w:space="0" w:color="auto"/>
        <w:right w:val="none" w:sz="0" w:space="0" w:color="auto"/>
      </w:divBdr>
    </w:div>
    <w:div w:id="67533628">
      <w:bodyDiv w:val="1"/>
      <w:marLeft w:val="0"/>
      <w:marRight w:val="0"/>
      <w:marTop w:val="0"/>
      <w:marBottom w:val="0"/>
      <w:divBdr>
        <w:top w:val="none" w:sz="0" w:space="0" w:color="auto"/>
        <w:left w:val="none" w:sz="0" w:space="0" w:color="auto"/>
        <w:bottom w:val="none" w:sz="0" w:space="0" w:color="auto"/>
        <w:right w:val="none" w:sz="0" w:space="0" w:color="auto"/>
      </w:divBdr>
    </w:div>
    <w:div w:id="69082614">
      <w:bodyDiv w:val="1"/>
      <w:marLeft w:val="0"/>
      <w:marRight w:val="0"/>
      <w:marTop w:val="0"/>
      <w:marBottom w:val="0"/>
      <w:divBdr>
        <w:top w:val="none" w:sz="0" w:space="0" w:color="auto"/>
        <w:left w:val="none" w:sz="0" w:space="0" w:color="auto"/>
        <w:bottom w:val="none" w:sz="0" w:space="0" w:color="auto"/>
        <w:right w:val="none" w:sz="0" w:space="0" w:color="auto"/>
      </w:divBdr>
    </w:div>
    <w:div w:id="72360843">
      <w:bodyDiv w:val="1"/>
      <w:marLeft w:val="0"/>
      <w:marRight w:val="0"/>
      <w:marTop w:val="0"/>
      <w:marBottom w:val="0"/>
      <w:divBdr>
        <w:top w:val="none" w:sz="0" w:space="0" w:color="auto"/>
        <w:left w:val="none" w:sz="0" w:space="0" w:color="auto"/>
        <w:bottom w:val="none" w:sz="0" w:space="0" w:color="auto"/>
        <w:right w:val="none" w:sz="0" w:space="0" w:color="auto"/>
      </w:divBdr>
    </w:div>
    <w:div w:id="82264495">
      <w:bodyDiv w:val="1"/>
      <w:marLeft w:val="0"/>
      <w:marRight w:val="0"/>
      <w:marTop w:val="0"/>
      <w:marBottom w:val="0"/>
      <w:divBdr>
        <w:top w:val="none" w:sz="0" w:space="0" w:color="auto"/>
        <w:left w:val="none" w:sz="0" w:space="0" w:color="auto"/>
        <w:bottom w:val="none" w:sz="0" w:space="0" w:color="auto"/>
        <w:right w:val="none" w:sz="0" w:space="0" w:color="auto"/>
      </w:divBdr>
    </w:div>
    <w:div w:id="84959303">
      <w:bodyDiv w:val="1"/>
      <w:marLeft w:val="0"/>
      <w:marRight w:val="0"/>
      <w:marTop w:val="0"/>
      <w:marBottom w:val="0"/>
      <w:divBdr>
        <w:top w:val="none" w:sz="0" w:space="0" w:color="auto"/>
        <w:left w:val="none" w:sz="0" w:space="0" w:color="auto"/>
        <w:bottom w:val="none" w:sz="0" w:space="0" w:color="auto"/>
        <w:right w:val="none" w:sz="0" w:space="0" w:color="auto"/>
      </w:divBdr>
    </w:div>
    <w:div w:id="87508486">
      <w:bodyDiv w:val="1"/>
      <w:marLeft w:val="0"/>
      <w:marRight w:val="0"/>
      <w:marTop w:val="0"/>
      <w:marBottom w:val="0"/>
      <w:divBdr>
        <w:top w:val="none" w:sz="0" w:space="0" w:color="auto"/>
        <w:left w:val="none" w:sz="0" w:space="0" w:color="auto"/>
        <w:bottom w:val="none" w:sz="0" w:space="0" w:color="auto"/>
        <w:right w:val="none" w:sz="0" w:space="0" w:color="auto"/>
      </w:divBdr>
    </w:div>
    <w:div w:id="93982103">
      <w:bodyDiv w:val="1"/>
      <w:marLeft w:val="0"/>
      <w:marRight w:val="0"/>
      <w:marTop w:val="0"/>
      <w:marBottom w:val="0"/>
      <w:divBdr>
        <w:top w:val="none" w:sz="0" w:space="0" w:color="auto"/>
        <w:left w:val="none" w:sz="0" w:space="0" w:color="auto"/>
        <w:bottom w:val="none" w:sz="0" w:space="0" w:color="auto"/>
        <w:right w:val="none" w:sz="0" w:space="0" w:color="auto"/>
      </w:divBdr>
    </w:div>
    <w:div w:id="102265233">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
    <w:div w:id="124391804">
      <w:bodyDiv w:val="1"/>
      <w:marLeft w:val="0"/>
      <w:marRight w:val="0"/>
      <w:marTop w:val="0"/>
      <w:marBottom w:val="0"/>
      <w:divBdr>
        <w:top w:val="none" w:sz="0" w:space="0" w:color="auto"/>
        <w:left w:val="none" w:sz="0" w:space="0" w:color="auto"/>
        <w:bottom w:val="none" w:sz="0" w:space="0" w:color="auto"/>
        <w:right w:val="none" w:sz="0" w:space="0" w:color="auto"/>
      </w:divBdr>
    </w:div>
    <w:div w:id="128591735">
      <w:bodyDiv w:val="1"/>
      <w:marLeft w:val="0"/>
      <w:marRight w:val="0"/>
      <w:marTop w:val="0"/>
      <w:marBottom w:val="0"/>
      <w:divBdr>
        <w:top w:val="none" w:sz="0" w:space="0" w:color="auto"/>
        <w:left w:val="none" w:sz="0" w:space="0" w:color="auto"/>
        <w:bottom w:val="none" w:sz="0" w:space="0" w:color="auto"/>
        <w:right w:val="none" w:sz="0" w:space="0" w:color="auto"/>
      </w:divBdr>
    </w:div>
    <w:div w:id="132601899">
      <w:bodyDiv w:val="1"/>
      <w:marLeft w:val="0"/>
      <w:marRight w:val="0"/>
      <w:marTop w:val="0"/>
      <w:marBottom w:val="0"/>
      <w:divBdr>
        <w:top w:val="none" w:sz="0" w:space="0" w:color="auto"/>
        <w:left w:val="none" w:sz="0" w:space="0" w:color="auto"/>
        <w:bottom w:val="none" w:sz="0" w:space="0" w:color="auto"/>
        <w:right w:val="none" w:sz="0" w:space="0" w:color="auto"/>
      </w:divBdr>
      <w:divsChild>
        <w:div w:id="1184635286">
          <w:marLeft w:val="0"/>
          <w:marRight w:val="0"/>
          <w:marTop w:val="0"/>
          <w:marBottom w:val="0"/>
          <w:divBdr>
            <w:top w:val="none" w:sz="0" w:space="0" w:color="auto"/>
            <w:left w:val="none" w:sz="0" w:space="0" w:color="auto"/>
            <w:bottom w:val="none" w:sz="0" w:space="0" w:color="auto"/>
            <w:right w:val="none" w:sz="0" w:space="0" w:color="auto"/>
          </w:divBdr>
        </w:div>
      </w:divsChild>
    </w:div>
    <w:div w:id="137454929">
      <w:bodyDiv w:val="1"/>
      <w:marLeft w:val="0"/>
      <w:marRight w:val="0"/>
      <w:marTop w:val="0"/>
      <w:marBottom w:val="0"/>
      <w:divBdr>
        <w:top w:val="none" w:sz="0" w:space="0" w:color="auto"/>
        <w:left w:val="none" w:sz="0" w:space="0" w:color="auto"/>
        <w:bottom w:val="none" w:sz="0" w:space="0" w:color="auto"/>
        <w:right w:val="none" w:sz="0" w:space="0" w:color="auto"/>
      </w:divBdr>
    </w:div>
    <w:div w:id="139928559">
      <w:bodyDiv w:val="1"/>
      <w:marLeft w:val="0"/>
      <w:marRight w:val="0"/>
      <w:marTop w:val="0"/>
      <w:marBottom w:val="0"/>
      <w:divBdr>
        <w:top w:val="none" w:sz="0" w:space="0" w:color="auto"/>
        <w:left w:val="none" w:sz="0" w:space="0" w:color="auto"/>
        <w:bottom w:val="none" w:sz="0" w:space="0" w:color="auto"/>
        <w:right w:val="none" w:sz="0" w:space="0" w:color="auto"/>
      </w:divBdr>
    </w:div>
    <w:div w:id="142738957">
      <w:bodyDiv w:val="1"/>
      <w:marLeft w:val="0"/>
      <w:marRight w:val="0"/>
      <w:marTop w:val="0"/>
      <w:marBottom w:val="0"/>
      <w:divBdr>
        <w:top w:val="none" w:sz="0" w:space="0" w:color="auto"/>
        <w:left w:val="none" w:sz="0" w:space="0" w:color="auto"/>
        <w:bottom w:val="none" w:sz="0" w:space="0" w:color="auto"/>
        <w:right w:val="none" w:sz="0" w:space="0" w:color="auto"/>
      </w:divBdr>
    </w:div>
    <w:div w:id="145783438">
      <w:bodyDiv w:val="1"/>
      <w:marLeft w:val="0"/>
      <w:marRight w:val="0"/>
      <w:marTop w:val="0"/>
      <w:marBottom w:val="0"/>
      <w:divBdr>
        <w:top w:val="none" w:sz="0" w:space="0" w:color="auto"/>
        <w:left w:val="none" w:sz="0" w:space="0" w:color="auto"/>
        <w:bottom w:val="none" w:sz="0" w:space="0" w:color="auto"/>
        <w:right w:val="none" w:sz="0" w:space="0" w:color="auto"/>
      </w:divBdr>
    </w:div>
    <w:div w:id="151069396">
      <w:bodyDiv w:val="1"/>
      <w:marLeft w:val="0"/>
      <w:marRight w:val="0"/>
      <w:marTop w:val="0"/>
      <w:marBottom w:val="0"/>
      <w:divBdr>
        <w:top w:val="none" w:sz="0" w:space="0" w:color="auto"/>
        <w:left w:val="none" w:sz="0" w:space="0" w:color="auto"/>
        <w:bottom w:val="none" w:sz="0" w:space="0" w:color="auto"/>
        <w:right w:val="none" w:sz="0" w:space="0" w:color="auto"/>
      </w:divBdr>
    </w:div>
    <w:div w:id="156968556">
      <w:bodyDiv w:val="1"/>
      <w:marLeft w:val="0"/>
      <w:marRight w:val="0"/>
      <w:marTop w:val="0"/>
      <w:marBottom w:val="0"/>
      <w:divBdr>
        <w:top w:val="none" w:sz="0" w:space="0" w:color="auto"/>
        <w:left w:val="none" w:sz="0" w:space="0" w:color="auto"/>
        <w:bottom w:val="none" w:sz="0" w:space="0" w:color="auto"/>
        <w:right w:val="none" w:sz="0" w:space="0" w:color="auto"/>
      </w:divBdr>
    </w:div>
    <w:div w:id="163322094">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66873910">
      <w:bodyDiv w:val="1"/>
      <w:marLeft w:val="0"/>
      <w:marRight w:val="0"/>
      <w:marTop w:val="0"/>
      <w:marBottom w:val="0"/>
      <w:divBdr>
        <w:top w:val="none" w:sz="0" w:space="0" w:color="auto"/>
        <w:left w:val="none" w:sz="0" w:space="0" w:color="auto"/>
        <w:bottom w:val="none" w:sz="0" w:space="0" w:color="auto"/>
        <w:right w:val="none" w:sz="0" w:space="0" w:color="auto"/>
      </w:divBdr>
    </w:div>
    <w:div w:id="167641130">
      <w:bodyDiv w:val="1"/>
      <w:marLeft w:val="0"/>
      <w:marRight w:val="0"/>
      <w:marTop w:val="0"/>
      <w:marBottom w:val="0"/>
      <w:divBdr>
        <w:top w:val="none" w:sz="0" w:space="0" w:color="auto"/>
        <w:left w:val="none" w:sz="0" w:space="0" w:color="auto"/>
        <w:bottom w:val="none" w:sz="0" w:space="0" w:color="auto"/>
        <w:right w:val="none" w:sz="0" w:space="0" w:color="auto"/>
      </w:divBdr>
    </w:div>
    <w:div w:id="171842438">
      <w:bodyDiv w:val="1"/>
      <w:marLeft w:val="0"/>
      <w:marRight w:val="0"/>
      <w:marTop w:val="0"/>
      <w:marBottom w:val="0"/>
      <w:divBdr>
        <w:top w:val="none" w:sz="0" w:space="0" w:color="auto"/>
        <w:left w:val="none" w:sz="0" w:space="0" w:color="auto"/>
        <w:bottom w:val="none" w:sz="0" w:space="0" w:color="auto"/>
        <w:right w:val="none" w:sz="0" w:space="0" w:color="auto"/>
      </w:divBdr>
    </w:div>
    <w:div w:id="176235706">
      <w:bodyDiv w:val="1"/>
      <w:marLeft w:val="0"/>
      <w:marRight w:val="0"/>
      <w:marTop w:val="0"/>
      <w:marBottom w:val="0"/>
      <w:divBdr>
        <w:top w:val="none" w:sz="0" w:space="0" w:color="auto"/>
        <w:left w:val="none" w:sz="0" w:space="0" w:color="auto"/>
        <w:bottom w:val="none" w:sz="0" w:space="0" w:color="auto"/>
        <w:right w:val="none" w:sz="0" w:space="0" w:color="auto"/>
      </w:divBdr>
    </w:div>
    <w:div w:id="185094676">
      <w:bodyDiv w:val="1"/>
      <w:marLeft w:val="0"/>
      <w:marRight w:val="0"/>
      <w:marTop w:val="0"/>
      <w:marBottom w:val="0"/>
      <w:divBdr>
        <w:top w:val="none" w:sz="0" w:space="0" w:color="auto"/>
        <w:left w:val="none" w:sz="0" w:space="0" w:color="auto"/>
        <w:bottom w:val="none" w:sz="0" w:space="0" w:color="auto"/>
        <w:right w:val="none" w:sz="0" w:space="0" w:color="auto"/>
      </w:divBdr>
    </w:div>
    <w:div w:id="203179459">
      <w:bodyDiv w:val="1"/>
      <w:marLeft w:val="0"/>
      <w:marRight w:val="0"/>
      <w:marTop w:val="0"/>
      <w:marBottom w:val="0"/>
      <w:divBdr>
        <w:top w:val="none" w:sz="0" w:space="0" w:color="auto"/>
        <w:left w:val="none" w:sz="0" w:space="0" w:color="auto"/>
        <w:bottom w:val="none" w:sz="0" w:space="0" w:color="auto"/>
        <w:right w:val="none" w:sz="0" w:space="0" w:color="auto"/>
      </w:divBdr>
    </w:div>
    <w:div w:id="203300142">
      <w:bodyDiv w:val="1"/>
      <w:marLeft w:val="0"/>
      <w:marRight w:val="0"/>
      <w:marTop w:val="0"/>
      <w:marBottom w:val="0"/>
      <w:divBdr>
        <w:top w:val="none" w:sz="0" w:space="0" w:color="auto"/>
        <w:left w:val="none" w:sz="0" w:space="0" w:color="auto"/>
        <w:bottom w:val="none" w:sz="0" w:space="0" w:color="auto"/>
        <w:right w:val="none" w:sz="0" w:space="0" w:color="auto"/>
      </w:divBdr>
    </w:div>
    <w:div w:id="203370037">
      <w:bodyDiv w:val="1"/>
      <w:marLeft w:val="0"/>
      <w:marRight w:val="0"/>
      <w:marTop w:val="0"/>
      <w:marBottom w:val="0"/>
      <w:divBdr>
        <w:top w:val="none" w:sz="0" w:space="0" w:color="auto"/>
        <w:left w:val="none" w:sz="0" w:space="0" w:color="auto"/>
        <w:bottom w:val="none" w:sz="0" w:space="0" w:color="auto"/>
        <w:right w:val="none" w:sz="0" w:space="0" w:color="auto"/>
      </w:divBdr>
    </w:div>
    <w:div w:id="218710463">
      <w:bodyDiv w:val="1"/>
      <w:marLeft w:val="0"/>
      <w:marRight w:val="0"/>
      <w:marTop w:val="0"/>
      <w:marBottom w:val="0"/>
      <w:divBdr>
        <w:top w:val="none" w:sz="0" w:space="0" w:color="auto"/>
        <w:left w:val="none" w:sz="0" w:space="0" w:color="auto"/>
        <w:bottom w:val="none" w:sz="0" w:space="0" w:color="auto"/>
        <w:right w:val="none" w:sz="0" w:space="0" w:color="auto"/>
      </w:divBdr>
    </w:div>
    <w:div w:id="220488370">
      <w:bodyDiv w:val="1"/>
      <w:marLeft w:val="0"/>
      <w:marRight w:val="0"/>
      <w:marTop w:val="0"/>
      <w:marBottom w:val="0"/>
      <w:divBdr>
        <w:top w:val="none" w:sz="0" w:space="0" w:color="auto"/>
        <w:left w:val="none" w:sz="0" w:space="0" w:color="auto"/>
        <w:bottom w:val="none" w:sz="0" w:space="0" w:color="auto"/>
        <w:right w:val="none" w:sz="0" w:space="0" w:color="auto"/>
      </w:divBdr>
    </w:div>
    <w:div w:id="225268517">
      <w:bodyDiv w:val="1"/>
      <w:marLeft w:val="0"/>
      <w:marRight w:val="0"/>
      <w:marTop w:val="0"/>
      <w:marBottom w:val="0"/>
      <w:divBdr>
        <w:top w:val="none" w:sz="0" w:space="0" w:color="auto"/>
        <w:left w:val="none" w:sz="0" w:space="0" w:color="auto"/>
        <w:bottom w:val="none" w:sz="0" w:space="0" w:color="auto"/>
        <w:right w:val="none" w:sz="0" w:space="0" w:color="auto"/>
      </w:divBdr>
    </w:div>
    <w:div w:id="229853486">
      <w:bodyDiv w:val="1"/>
      <w:marLeft w:val="0"/>
      <w:marRight w:val="0"/>
      <w:marTop w:val="0"/>
      <w:marBottom w:val="0"/>
      <w:divBdr>
        <w:top w:val="none" w:sz="0" w:space="0" w:color="auto"/>
        <w:left w:val="none" w:sz="0" w:space="0" w:color="auto"/>
        <w:bottom w:val="none" w:sz="0" w:space="0" w:color="auto"/>
        <w:right w:val="none" w:sz="0" w:space="0" w:color="auto"/>
      </w:divBdr>
    </w:div>
    <w:div w:id="233514904">
      <w:bodyDiv w:val="1"/>
      <w:marLeft w:val="0"/>
      <w:marRight w:val="0"/>
      <w:marTop w:val="0"/>
      <w:marBottom w:val="0"/>
      <w:divBdr>
        <w:top w:val="none" w:sz="0" w:space="0" w:color="auto"/>
        <w:left w:val="none" w:sz="0" w:space="0" w:color="auto"/>
        <w:bottom w:val="none" w:sz="0" w:space="0" w:color="auto"/>
        <w:right w:val="none" w:sz="0" w:space="0" w:color="auto"/>
      </w:divBdr>
    </w:div>
    <w:div w:id="234442127">
      <w:bodyDiv w:val="1"/>
      <w:marLeft w:val="0"/>
      <w:marRight w:val="0"/>
      <w:marTop w:val="0"/>
      <w:marBottom w:val="0"/>
      <w:divBdr>
        <w:top w:val="none" w:sz="0" w:space="0" w:color="auto"/>
        <w:left w:val="none" w:sz="0" w:space="0" w:color="auto"/>
        <w:bottom w:val="none" w:sz="0" w:space="0" w:color="auto"/>
        <w:right w:val="none" w:sz="0" w:space="0" w:color="auto"/>
      </w:divBdr>
    </w:div>
    <w:div w:id="242762324">
      <w:bodyDiv w:val="1"/>
      <w:marLeft w:val="0"/>
      <w:marRight w:val="0"/>
      <w:marTop w:val="0"/>
      <w:marBottom w:val="0"/>
      <w:divBdr>
        <w:top w:val="none" w:sz="0" w:space="0" w:color="auto"/>
        <w:left w:val="none" w:sz="0" w:space="0" w:color="auto"/>
        <w:bottom w:val="none" w:sz="0" w:space="0" w:color="auto"/>
        <w:right w:val="none" w:sz="0" w:space="0" w:color="auto"/>
      </w:divBdr>
    </w:div>
    <w:div w:id="243729190">
      <w:bodyDiv w:val="1"/>
      <w:marLeft w:val="0"/>
      <w:marRight w:val="0"/>
      <w:marTop w:val="0"/>
      <w:marBottom w:val="0"/>
      <w:divBdr>
        <w:top w:val="none" w:sz="0" w:space="0" w:color="auto"/>
        <w:left w:val="none" w:sz="0" w:space="0" w:color="auto"/>
        <w:bottom w:val="none" w:sz="0" w:space="0" w:color="auto"/>
        <w:right w:val="none" w:sz="0" w:space="0" w:color="auto"/>
      </w:divBdr>
    </w:div>
    <w:div w:id="246623141">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59339172">
      <w:bodyDiv w:val="1"/>
      <w:marLeft w:val="0"/>
      <w:marRight w:val="0"/>
      <w:marTop w:val="0"/>
      <w:marBottom w:val="0"/>
      <w:divBdr>
        <w:top w:val="none" w:sz="0" w:space="0" w:color="auto"/>
        <w:left w:val="none" w:sz="0" w:space="0" w:color="auto"/>
        <w:bottom w:val="none" w:sz="0" w:space="0" w:color="auto"/>
        <w:right w:val="none" w:sz="0" w:space="0" w:color="auto"/>
      </w:divBdr>
    </w:div>
    <w:div w:id="260769603">
      <w:bodyDiv w:val="1"/>
      <w:marLeft w:val="0"/>
      <w:marRight w:val="0"/>
      <w:marTop w:val="0"/>
      <w:marBottom w:val="0"/>
      <w:divBdr>
        <w:top w:val="none" w:sz="0" w:space="0" w:color="auto"/>
        <w:left w:val="none" w:sz="0" w:space="0" w:color="auto"/>
        <w:bottom w:val="none" w:sz="0" w:space="0" w:color="auto"/>
        <w:right w:val="none" w:sz="0" w:space="0" w:color="auto"/>
      </w:divBdr>
    </w:div>
    <w:div w:id="261105549">
      <w:bodyDiv w:val="1"/>
      <w:marLeft w:val="0"/>
      <w:marRight w:val="0"/>
      <w:marTop w:val="0"/>
      <w:marBottom w:val="0"/>
      <w:divBdr>
        <w:top w:val="none" w:sz="0" w:space="0" w:color="auto"/>
        <w:left w:val="none" w:sz="0" w:space="0" w:color="auto"/>
        <w:bottom w:val="none" w:sz="0" w:space="0" w:color="auto"/>
        <w:right w:val="none" w:sz="0" w:space="0" w:color="auto"/>
      </w:divBdr>
    </w:div>
    <w:div w:id="269902205">
      <w:bodyDiv w:val="1"/>
      <w:marLeft w:val="0"/>
      <w:marRight w:val="0"/>
      <w:marTop w:val="0"/>
      <w:marBottom w:val="0"/>
      <w:divBdr>
        <w:top w:val="none" w:sz="0" w:space="0" w:color="auto"/>
        <w:left w:val="none" w:sz="0" w:space="0" w:color="auto"/>
        <w:bottom w:val="none" w:sz="0" w:space="0" w:color="auto"/>
        <w:right w:val="none" w:sz="0" w:space="0" w:color="auto"/>
      </w:divBdr>
    </w:div>
    <w:div w:id="276110400">
      <w:bodyDiv w:val="1"/>
      <w:marLeft w:val="0"/>
      <w:marRight w:val="0"/>
      <w:marTop w:val="0"/>
      <w:marBottom w:val="0"/>
      <w:divBdr>
        <w:top w:val="none" w:sz="0" w:space="0" w:color="auto"/>
        <w:left w:val="none" w:sz="0" w:space="0" w:color="auto"/>
        <w:bottom w:val="none" w:sz="0" w:space="0" w:color="auto"/>
        <w:right w:val="none" w:sz="0" w:space="0" w:color="auto"/>
      </w:divBdr>
    </w:div>
    <w:div w:id="282350912">
      <w:bodyDiv w:val="1"/>
      <w:marLeft w:val="0"/>
      <w:marRight w:val="0"/>
      <w:marTop w:val="0"/>
      <w:marBottom w:val="0"/>
      <w:divBdr>
        <w:top w:val="none" w:sz="0" w:space="0" w:color="auto"/>
        <w:left w:val="none" w:sz="0" w:space="0" w:color="auto"/>
        <w:bottom w:val="none" w:sz="0" w:space="0" w:color="auto"/>
        <w:right w:val="none" w:sz="0" w:space="0" w:color="auto"/>
      </w:divBdr>
    </w:div>
    <w:div w:id="283384788">
      <w:bodyDiv w:val="1"/>
      <w:marLeft w:val="0"/>
      <w:marRight w:val="0"/>
      <w:marTop w:val="0"/>
      <w:marBottom w:val="0"/>
      <w:divBdr>
        <w:top w:val="none" w:sz="0" w:space="0" w:color="auto"/>
        <w:left w:val="none" w:sz="0" w:space="0" w:color="auto"/>
        <w:bottom w:val="none" w:sz="0" w:space="0" w:color="auto"/>
        <w:right w:val="none" w:sz="0" w:space="0" w:color="auto"/>
      </w:divBdr>
    </w:div>
    <w:div w:id="284047950">
      <w:bodyDiv w:val="1"/>
      <w:marLeft w:val="0"/>
      <w:marRight w:val="0"/>
      <w:marTop w:val="0"/>
      <w:marBottom w:val="0"/>
      <w:divBdr>
        <w:top w:val="none" w:sz="0" w:space="0" w:color="auto"/>
        <w:left w:val="none" w:sz="0" w:space="0" w:color="auto"/>
        <w:bottom w:val="none" w:sz="0" w:space="0" w:color="auto"/>
        <w:right w:val="none" w:sz="0" w:space="0" w:color="auto"/>
      </w:divBdr>
    </w:div>
    <w:div w:id="288511355">
      <w:bodyDiv w:val="1"/>
      <w:marLeft w:val="0"/>
      <w:marRight w:val="0"/>
      <w:marTop w:val="0"/>
      <w:marBottom w:val="0"/>
      <w:divBdr>
        <w:top w:val="none" w:sz="0" w:space="0" w:color="auto"/>
        <w:left w:val="none" w:sz="0" w:space="0" w:color="auto"/>
        <w:bottom w:val="none" w:sz="0" w:space="0" w:color="auto"/>
        <w:right w:val="none" w:sz="0" w:space="0" w:color="auto"/>
      </w:divBdr>
    </w:div>
    <w:div w:id="289432872">
      <w:bodyDiv w:val="1"/>
      <w:marLeft w:val="0"/>
      <w:marRight w:val="0"/>
      <w:marTop w:val="0"/>
      <w:marBottom w:val="0"/>
      <w:divBdr>
        <w:top w:val="none" w:sz="0" w:space="0" w:color="auto"/>
        <w:left w:val="none" w:sz="0" w:space="0" w:color="auto"/>
        <w:bottom w:val="none" w:sz="0" w:space="0" w:color="auto"/>
        <w:right w:val="none" w:sz="0" w:space="0" w:color="auto"/>
      </w:divBdr>
    </w:div>
    <w:div w:id="290483992">
      <w:bodyDiv w:val="1"/>
      <w:marLeft w:val="0"/>
      <w:marRight w:val="0"/>
      <w:marTop w:val="0"/>
      <w:marBottom w:val="0"/>
      <w:divBdr>
        <w:top w:val="none" w:sz="0" w:space="0" w:color="auto"/>
        <w:left w:val="none" w:sz="0" w:space="0" w:color="auto"/>
        <w:bottom w:val="none" w:sz="0" w:space="0" w:color="auto"/>
        <w:right w:val="none" w:sz="0" w:space="0" w:color="auto"/>
      </w:divBdr>
    </w:div>
    <w:div w:id="292059261">
      <w:bodyDiv w:val="1"/>
      <w:marLeft w:val="0"/>
      <w:marRight w:val="0"/>
      <w:marTop w:val="0"/>
      <w:marBottom w:val="0"/>
      <w:divBdr>
        <w:top w:val="none" w:sz="0" w:space="0" w:color="auto"/>
        <w:left w:val="none" w:sz="0" w:space="0" w:color="auto"/>
        <w:bottom w:val="none" w:sz="0" w:space="0" w:color="auto"/>
        <w:right w:val="none" w:sz="0" w:space="0" w:color="auto"/>
      </w:divBdr>
    </w:div>
    <w:div w:id="299652256">
      <w:bodyDiv w:val="1"/>
      <w:marLeft w:val="0"/>
      <w:marRight w:val="0"/>
      <w:marTop w:val="0"/>
      <w:marBottom w:val="0"/>
      <w:divBdr>
        <w:top w:val="none" w:sz="0" w:space="0" w:color="auto"/>
        <w:left w:val="none" w:sz="0" w:space="0" w:color="auto"/>
        <w:bottom w:val="none" w:sz="0" w:space="0" w:color="auto"/>
        <w:right w:val="none" w:sz="0" w:space="0" w:color="auto"/>
      </w:divBdr>
    </w:div>
    <w:div w:id="307975412">
      <w:bodyDiv w:val="1"/>
      <w:marLeft w:val="0"/>
      <w:marRight w:val="0"/>
      <w:marTop w:val="0"/>
      <w:marBottom w:val="0"/>
      <w:divBdr>
        <w:top w:val="none" w:sz="0" w:space="0" w:color="auto"/>
        <w:left w:val="none" w:sz="0" w:space="0" w:color="auto"/>
        <w:bottom w:val="none" w:sz="0" w:space="0" w:color="auto"/>
        <w:right w:val="none" w:sz="0" w:space="0" w:color="auto"/>
      </w:divBdr>
    </w:div>
    <w:div w:id="308095822">
      <w:bodyDiv w:val="1"/>
      <w:marLeft w:val="0"/>
      <w:marRight w:val="0"/>
      <w:marTop w:val="0"/>
      <w:marBottom w:val="0"/>
      <w:divBdr>
        <w:top w:val="none" w:sz="0" w:space="0" w:color="auto"/>
        <w:left w:val="none" w:sz="0" w:space="0" w:color="auto"/>
        <w:bottom w:val="none" w:sz="0" w:space="0" w:color="auto"/>
        <w:right w:val="none" w:sz="0" w:space="0" w:color="auto"/>
      </w:divBdr>
    </w:div>
    <w:div w:id="308441577">
      <w:bodyDiv w:val="1"/>
      <w:marLeft w:val="0"/>
      <w:marRight w:val="0"/>
      <w:marTop w:val="0"/>
      <w:marBottom w:val="0"/>
      <w:divBdr>
        <w:top w:val="none" w:sz="0" w:space="0" w:color="auto"/>
        <w:left w:val="none" w:sz="0" w:space="0" w:color="auto"/>
        <w:bottom w:val="none" w:sz="0" w:space="0" w:color="auto"/>
        <w:right w:val="none" w:sz="0" w:space="0" w:color="auto"/>
      </w:divBdr>
    </w:div>
    <w:div w:id="317271782">
      <w:bodyDiv w:val="1"/>
      <w:marLeft w:val="0"/>
      <w:marRight w:val="0"/>
      <w:marTop w:val="0"/>
      <w:marBottom w:val="0"/>
      <w:divBdr>
        <w:top w:val="none" w:sz="0" w:space="0" w:color="auto"/>
        <w:left w:val="none" w:sz="0" w:space="0" w:color="auto"/>
        <w:bottom w:val="none" w:sz="0" w:space="0" w:color="auto"/>
        <w:right w:val="none" w:sz="0" w:space="0" w:color="auto"/>
      </w:divBdr>
    </w:div>
    <w:div w:id="320083088">
      <w:bodyDiv w:val="1"/>
      <w:marLeft w:val="0"/>
      <w:marRight w:val="0"/>
      <w:marTop w:val="0"/>
      <w:marBottom w:val="0"/>
      <w:divBdr>
        <w:top w:val="none" w:sz="0" w:space="0" w:color="auto"/>
        <w:left w:val="none" w:sz="0" w:space="0" w:color="auto"/>
        <w:bottom w:val="none" w:sz="0" w:space="0" w:color="auto"/>
        <w:right w:val="none" w:sz="0" w:space="0" w:color="auto"/>
      </w:divBdr>
    </w:div>
    <w:div w:id="324165817">
      <w:bodyDiv w:val="1"/>
      <w:marLeft w:val="0"/>
      <w:marRight w:val="0"/>
      <w:marTop w:val="0"/>
      <w:marBottom w:val="0"/>
      <w:divBdr>
        <w:top w:val="none" w:sz="0" w:space="0" w:color="auto"/>
        <w:left w:val="none" w:sz="0" w:space="0" w:color="auto"/>
        <w:bottom w:val="none" w:sz="0" w:space="0" w:color="auto"/>
        <w:right w:val="none" w:sz="0" w:space="0" w:color="auto"/>
      </w:divBdr>
    </w:div>
    <w:div w:id="324863384">
      <w:bodyDiv w:val="1"/>
      <w:marLeft w:val="0"/>
      <w:marRight w:val="0"/>
      <w:marTop w:val="0"/>
      <w:marBottom w:val="0"/>
      <w:divBdr>
        <w:top w:val="none" w:sz="0" w:space="0" w:color="auto"/>
        <w:left w:val="none" w:sz="0" w:space="0" w:color="auto"/>
        <w:bottom w:val="none" w:sz="0" w:space="0" w:color="auto"/>
        <w:right w:val="none" w:sz="0" w:space="0" w:color="auto"/>
      </w:divBdr>
    </w:div>
    <w:div w:id="334191235">
      <w:bodyDiv w:val="1"/>
      <w:marLeft w:val="0"/>
      <w:marRight w:val="0"/>
      <w:marTop w:val="0"/>
      <w:marBottom w:val="0"/>
      <w:divBdr>
        <w:top w:val="none" w:sz="0" w:space="0" w:color="auto"/>
        <w:left w:val="none" w:sz="0" w:space="0" w:color="auto"/>
        <w:bottom w:val="none" w:sz="0" w:space="0" w:color="auto"/>
        <w:right w:val="none" w:sz="0" w:space="0" w:color="auto"/>
      </w:divBdr>
    </w:div>
    <w:div w:id="337583736">
      <w:bodyDiv w:val="1"/>
      <w:marLeft w:val="0"/>
      <w:marRight w:val="0"/>
      <w:marTop w:val="0"/>
      <w:marBottom w:val="0"/>
      <w:divBdr>
        <w:top w:val="none" w:sz="0" w:space="0" w:color="auto"/>
        <w:left w:val="none" w:sz="0" w:space="0" w:color="auto"/>
        <w:bottom w:val="none" w:sz="0" w:space="0" w:color="auto"/>
        <w:right w:val="none" w:sz="0" w:space="0" w:color="auto"/>
      </w:divBdr>
    </w:div>
    <w:div w:id="353923540">
      <w:bodyDiv w:val="1"/>
      <w:marLeft w:val="0"/>
      <w:marRight w:val="0"/>
      <w:marTop w:val="0"/>
      <w:marBottom w:val="0"/>
      <w:divBdr>
        <w:top w:val="none" w:sz="0" w:space="0" w:color="auto"/>
        <w:left w:val="none" w:sz="0" w:space="0" w:color="auto"/>
        <w:bottom w:val="none" w:sz="0" w:space="0" w:color="auto"/>
        <w:right w:val="none" w:sz="0" w:space="0" w:color="auto"/>
      </w:divBdr>
    </w:div>
    <w:div w:id="363336433">
      <w:bodyDiv w:val="1"/>
      <w:marLeft w:val="0"/>
      <w:marRight w:val="0"/>
      <w:marTop w:val="0"/>
      <w:marBottom w:val="0"/>
      <w:divBdr>
        <w:top w:val="none" w:sz="0" w:space="0" w:color="auto"/>
        <w:left w:val="none" w:sz="0" w:space="0" w:color="auto"/>
        <w:bottom w:val="none" w:sz="0" w:space="0" w:color="auto"/>
        <w:right w:val="none" w:sz="0" w:space="0" w:color="auto"/>
      </w:divBdr>
    </w:div>
    <w:div w:id="373579084">
      <w:bodyDiv w:val="1"/>
      <w:marLeft w:val="0"/>
      <w:marRight w:val="0"/>
      <w:marTop w:val="0"/>
      <w:marBottom w:val="0"/>
      <w:divBdr>
        <w:top w:val="none" w:sz="0" w:space="0" w:color="auto"/>
        <w:left w:val="none" w:sz="0" w:space="0" w:color="auto"/>
        <w:bottom w:val="none" w:sz="0" w:space="0" w:color="auto"/>
        <w:right w:val="none" w:sz="0" w:space="0" w:color="auto"/>
      </w:divBdr>
    </w:div>
    <w:div w:id="375815830">
      <w:bodyDiv w:val="1"/>
      <w:marLeft w:val="0"/>
      <w:marRight w:val="0"/>
      <w:marTop w:val="0"/>
      <w:marBottom w:val="0"/>
      <w:divBdr>
        <w:top w:val="none" w:sz="0" w:space="0" w:color="auto"/>
        <w:left w:val="none" w:sz="0" w:space="0" w:color="auto"/>
        <w:bottom w:val="none" w:sz="0" w:space="0" w:color="auto"/>
        <w:right w:val="none" w:sz="0" w:space="0" w:color="auto"/>
      </w:divBdr>
    </w:div>
    <w:div w:id="380255319">
      <w:bodyDiv w:val="1"/>
      <w:marLeft w:val="0"/>
      <w:marRight w:val="0"/>
      <w:marTop w:val="0"/>
      <w:marBottom w:val="0"/>
      <w:divBdr>
        <w:top w:val="none" w:sz="0" w:space="0" w:color="auto"/>
        <w:left w:val="none" w:sz="0" w:space="0" w:color="auto"/>
        <w:bottom w:val="none" w:sz="0" w:space="0" w:color="auto"/>
        <w:right w:val="none" w:sz="0" w:space="0" w:color="auto"/>
      </w:divBdr>
    </w:div>
    <w:div w:id="389574335">
      <w:bodyDiv w:val="1"/>
      <w:marLeft w:val="0"/>
      <w:marRight w:val="0"/>
      <w:marTop w:val="0"/>
      <w:marBottom w:val="0"/>
      <w:divBdr>
        <w:top w:val="none" w:sz="0" w:space="0" w:color="auto"/>
        <w:left w:val="none" w:sz="0" w:space="0" w:color="auto"/>
        <w:bottom w:val="none" w:sz="0" w:space="0" w:color="auto"/>
        <w:right w:val="none" w:sz="0" w:space="0" w:color="auto"/>
      </w:divBdr>
    </w:div>
    <w:div w:id="394355542">
      <w:bodyDiv w:val="1"/>
      <w:marLeft w:val="0"/>
      <w:marRight w:val="0"/>
      <w:marTop w:val="0"/>
      <w:marBottom w:val="0"/>
      <w:divBdr>
        <w:top w:val="none" w:sz="0" w:space="0" w:color="auto"/>
        <w:left w:val="none" w:sz="0" w:space="0" w:color="auto"/>
        <w:bottom w:val="none" w:sz="0" w:space="0" w:color="auto"/>
        <w:right w:val="none" w:sz="0" w:space="0" w:color="auto"/>
      </w:divBdr>
    </w:div>
    <w:div w:id="397167791">
      <w:bodyDiv w:val="1"/>
      <w:marLeft w:val="0"/>
      <w:marRight w:val="0"/>
      <w:marTop w:val="0"/>
      <w:marBottom w:val="0"/>
      <w:divBdr>
        <w:top w:val="none" w:sz="0" w:space="0" w:color="auto"/>
        <w:left w:val="none" w:sz="0" w:space="0" w:color="auto"/>
        <w:bottom w:val="none" w:sz="0" w:space="0" w:color="auto"/>
        <w:right w:val="none" w:sz="0" w:space="0" w:color="auto"/>
      </w:divBdr>
    </w:div>
    <w:div w:id="400761846">
      <w:bodyDiv w:val="1"/>
      <w:marLeft w:val="0"/>
      <w:marRight w:val="0"/>
      <w:marTop w:val="0"/>
      <w:marBottom w:val="0"/>
      <w:divBdr>
        <w:top w:val="none" w:sz="0" w:space="0" w:color="auto"/>
        <w:left w:val="none" w:sz="0" w:space="0" w:color="auto"/>
        <w:bottom w:val="none" w:sz="0" w:space="0" w:color="auto"/>
        <w:right w:val="none" w:sz="0" w:space="0" w:color="auto"/>
      </w:divBdr>
    </w:div>
    <w:div w:id="410856735">
      <w:bodyDiv w:val="1"/>
      <w:marLeft w:val="0"/>
      <w:marRight w:val="0"/>
      <w:marTop w:val="0"/>
      <w:marBottom w:val="0"/>
      <w:divBdr>
        <w:top w:val="none" w:sz="0" w:space="0" w:color="auto"/>
        <w:left w:val="none" w:sz="0" w:space="0" w:color="auto"/>
        <w:bottom w:val="none" w:sz="0" w:space="0" w:color="auto"/>
        <w:right w:val="none" w:sz="0" w:space="0" w:color="auto"/>
      </w:divBdr>
    </w:div>
    <w:div w:id="420836892">
      <w:bodyDiv w:val="1"/>
      <w:marLeft w:val="0"/>
      <w:marRight w:val="0"/>
      <w:marTop w:val="0"/>
      <w:marBottom w:val="0"/>
      <w:divBdr>
        <w:top w:val="none" w:sz="0" w:space="0" w:color="auto"/>
        <w:left w:val="none" w:sz="0" w:space="0" w:color="auto"/>
        <w:bottom w:val="none" w:sz="0" w:space="0" w:color="auto"/>
        <w:right w:val="none" w:sz="0" w:space="0" w:color="auto"/>
      </w:divBdr>
    </w:div>
    <w:div w:id="422607894">
      <w:bodyDiv w:val="1"/>
      <w:marLeft w:val="0"/>
      <w:marRight w:val="0"/>
      <w:marTop w:val="0"/>
      <w:marBottom w:val="0"/>
      <w:divBdr>
        <w:top w:val="none" w:sz="0" w:space="0" w:color="auto"/>
        <w:left w:val="none" w:sz="0" w:space="0" w:color="auto"/>
        <w:bottom w:val="none" w:sz="0" w:space="0" w:color="auto"/>
        <w:right w:val="none" w:sz="0" w:space="0" w:color="auto"/>
      </w:divBdr>
    </w:div>
    <w:div w:id="432435057">
      <w:bodyDiv w:val="1"/>
      <w:marLeft w:val="0"/>
      <w:marRight w:val="0"/>
      <w:marTop w:val="0"/>
      <w:marBottom w:val="0"/>
      <w:divBdr>
        <w:top w:val="none" w:sz="0" w:space="0" w:color="auto"/>
        <w:left w:val="none" w:sz="0" w:space="0" w:color="auto"/>
        <w:bottom w:val="none" w:sz="0" w:space="0" w:color="auto"/>
        <w:right w:val="none" w:sz="0" w:space="0" w:color="auto"/>
      </w:divBdr>
    </w:div>
    <w:div w:id="435055076">
      <w:bodyDiv w:val="1"/>
      <w:marLeft w:val="0"/>
      <w:marRight w:val="0"/>
      <w:marTop w:val="0"/>
      <w:marBottom w:val="0"/>
      <w:divBdr>
        <w:top w:val="none" w:sz="0" w:space="0" w:color="auto"/>
        <w:left w:val="none" w:sz="0" w:space="0" w:color="auto"/>
        <w:bottom w:val="none" w:sz="0" w:space="0" w:color="auto"/>
        <w:right w:val="none" w:sz="0" w:space="0" w:color="auto"/>
      </w:divBdr>
    </w:div>
    <w:div w:id="439421022">
      <w:bodyDiv w:val="1"/>
      <w:marLeft w:val="0"/>
      <w:marRight w:val="0"/>
      <w:marTop w:val="0"/>
      <w:marBottom w:val="0"/>
      <w:divBdr>
        <w:top w:val="none" w:sz="0" w:space="0" w:color="auto"/>
        <w:left w:val="none" w:sz="0" w:space="0" w:color="auto"/>
        <w:bottom w:val="none" w:sz="0" w:space="0" w:color="auto"/>
        <w:right w:val="none" w:sz="0" w:space="0" w:color="auto"/>
      </w:divBdr>
    </w:div>
    <w:div w:id="447042462">
      <w:bodyDiv w:val="1"/>
      <w:marLeft w:val="0"/>
      <w:marRight w:val="0"/>
      <w:marTop w:val="0"/>
      <w:marBottom w:val="0"/>
      <w:divBdr>
        <w:top w:val="none" w:sz="0" w:space="0" w:color="auto"/>
        <w:left w:val="none" w:sz="0" w:space="0" w:color="auto"/>
        <w:bottom w:val="none" w:sz="0" w:space="0" w:color="auto"/>
        <w:right w:val="none" w:sz="0" w:space="0" w:color="auto"/>
      </w:divBdr>
    </w:div>
    <w:div w:id="447940573">
      <w:bodyDiv w:val="1"/>
      <w:marLeft w:val="0"/>
      <w:marRight w:val="0"/>
      <w:marTop w:val="0"/>
      <w:marBottom w:val="0"/>
      <w:divBdr>
        <w:top w:val="none" w:sz="0" w:space="0" w:color="auto"/>
        <w:left w:val="none" w:sz="0" w:space="0" w:color="auto"/>
        <w:bottom w:val="none" w:sz="0" w:space="0" w:color="auto"/>
        <w:right w:val="none" w:sz="0" w:space="0" w:color="auto"/>
      </w:divBdr>
    </w:div>
    <w:div w:id="449712294">
      <w:bodyDiv w:val="1"/>
      <w:marLeft w:val="0"/>
      <w:marRight w:val="0"/>
      <w:marTop w:val="0"/>
      <w:marBottom w:val="0"/>
      <w:divBdr>
        <w:top w:val="none" w:sz="0" w:space="0" w:color="auto"/>
        <w:left w:val="none" w:sz="0" w:space="0" w:color="auto"/>
        <w:bottom w:val="none" w:sz="0" w:space="0" w:color="auto"/>
        <w:right w:val="none" w:sz="0" w:space="0" w:color="auto"/>
      </w:divBdr>
    </w:div>
    <w:div w:id="452752924">
      <w:bodyDiv w:val="1"/>
      <w:marLeft w:val="0"/>
      <w:marRight w:val="0"/>
      <w:marTop w:val="0"/>
      <w:marBottom w:val="0"/>
      <w:divBdr>
        <w:top w:val="none" w:sz="0" w:space="0" w:color="auto"/>
        <w:left w:val="none" w:sz="0" w:space="0" w:color="auto"/>
        <w:bottom w:val="none" w:sz="0" w:space="0" w:color="auto"/>
        <w:right w:val="none" w:sz="0" w:space="0" w:color="auto"/>
      </w:divBdr>
    </w:div>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459610394">
      <w:bodyDiv w:val="1"/>
      <w:marLeft w:val="0"/>
      <w:marRight w:val="0"/>
      <w:marTop w:val="0"/>
      <w:marBottom w:val="0"/>
      <w:divBdr>
        <w:top w:val="none" w:sz="0" w:space="0" w:color="auto"/>
        <w:left w:val="none" w:sz="0" w:space="0" w:color="auto"/>
        <w:bottom w:val="none" w:sz="0" w:space="0" w:color="auto"/>
        <w:right w:val="none" w:sz="0" w:space="0" w:color="auto"/>
      </w:divBdr>
    </w:div>
    <w:div w:id="459688444">
      <w:bodyDiv w:val="1"/>
      <w:marLeft w:val="0"/>
      <w:marRight w:val="0"/>
      <w:marTop w:val="0"/>
      <w:marBottom w:val="0"/>
      <w:divBdr>
        <w:top w:val="none" w:sz="0" w:space="0" w:color="auto"/>
        <w:left w:val="none" w:sz="0" w:space="0" w:color="auto"/>
        <w:bottom w:val="none" w:sz="0" w:space="0" w:color="auto"/>
        <w:right w:val="none" w:sz="0" w:space="0" w:color="auto"/>
      </w:divBdr>
    </w:div>
    <w:div w:id="469057751">
      <w:bodyDiv w:val="1"/>
      <w:marLeft w:val="0"/>
      <w:marRight w:val="0"/>
      <w:marTop w:val="0"/>
      <w:marBottom w:val="0"/>
      <w:divBdr>
        <w:top w:val="none" w:sz="0" w:space="0" w:color="auto"/>
        <w:left w:val="none" w:sz="0" w:space="0" w:color="auto"/>
        <w:bottom w:val="none" w:sz="0" w:space="0" w:color="auto"/>
        <w:right w:val="none" w:sz="0" w:space="0" w:color="auto"/>
      </w:divBdr>
    </w:div>
    <w:div w:id="469175807">
      <w:bodyDiv w:val="1"/>
      <w:marLeft w:val="0"/>
      <w:marRight w:val="0"/>
      <w:marTop w:val="0"/>
      <w:marBottom w:val="0"/>
      <w:divBdr>
        <w:top w:val="none" w:sz="0" w:space="0" w:color="auto"/>
        <w:left w:val="none" w:sz="0" w:space="0" w:color="auto"/>
        <w:bottom w:val="none" w:sz="0" w:space="0" w:color="auto"/>
        <w:right w:val="none" w:sz="0" w:space="0" w:color="auto"/>
      </w:divBdr>
    </w:div>
    <w:div w:id="469833536">
      <w:bodyDiv w:val="1"/>
      <w:marLeft w:val="0"/>
      <w:marRight w:val="0"/>
      <w:marTop w:val="0"/>
      <w:marBottom w:val="0"/>
      <w:divBdr>
        <w:top w:val="none" w:sz="0" w:space="0" w:color="auto"/>
        <w:left w:val="none" w:sz="0" w:space="0" w:color="auto"/>
        <w:bottom w:val="none" w:sz="0" w:space="0" w:color="auto"/>
        <w:right w:val="none" w:sz="0" w:space="0" w:color="auto"/>
      </w:divBdr>
    </w:div>
    <w:div w:id="477037447">
      <w:bodyDiv w:val="1"/>
      <w:marLeft w:val="0"/>
      <w:marRight w:val="0"/>
      <w:marTop w:val="0"/>
      <w:marBottom w:val="0"/>
      <w:divBdr>
        <w:top w:val="none" w:sz="0" w:space="0" w:color="auto"/>
        <w:left w:val="none" w:sz="0" w:space="0" w:color="auto"/>
        <w:bottom w:val="none" w:sz="0" w:space="0" w:color="auto"/>
        <w:right w:val="none" w:sz="0" w:space="0" w:color="auto"/>
      </w:divBdr>
    </w:div>
    <w:div w:id="481695612">
      <w:bodyDiv w:val="1"/>
      <w:marLeft w:val="0"/>
      <w:marRight w:val="0"/>
      <w:marTop w:val="0"/>
      <w:marBottom w:val="0"/>
      <w:divBdr>
        <w:top w:val="none" w:sz="0" w:space="0" w:color="auto"/>
        <w:left w:val="none" w:sz="0" w:space="0" w:color="auto"/>
        <w:bottom w:val="none" w:sz="0" w:space="0" w:color="auto"/>
        <w:right w:val="none" w:sz="0" w:space="0" w:color="auto"/>
      </w:divBdr>
    </w:div>
    <w:div w:id="482432510">
      <w:bodyDiv w:val="1"/>
      <w:marLeft w:val="0"/>
      <w:marRight w:val="0"/>
      <w:marTop w:val="0"/>
      <w:marBottom w:val="0"/>
      <w:divBdr>
        <w:top w:val="none" w:sz="0" w:space="0" w:color="auto"/>
        <w:left w:val="none" w:sz="0" w:space="0" w:color="auto"/>
        <w:bottom w:val="none" w:sz="0" w:space="0" w:color="auto"/>
        <w:right w:val="none" w:sz="0" w:space="0" w:color="auto"/>
      </w:divBdr>
    </w:div>
    <w:div w:id="486093695">
      <w:bodyDiv w:val="1"/>
      <w:marLeft w:val="0"/>
      <w:marRight w:val="0"/>
      <w:marTop w:val="0"/>
      <w:marBottom w:val="0"/>
      <w:divBdr>
        <w:top w:val="none" w:sz="0" w:space="0" w:color="auto"/>
        <w:left w:val="none" w:sz="0" w:space="0" w:color="auto"/>
        <w:bottom w:val="none" w:sz="0" w:space="0" w:color="auto"/>
        <w:right w:val="none" w:sz="0" w:space="0" w:color="auto"/>
      </w:divBdr>
    </w:div>
    <w:div w:id="491407583">
      <w:bodyDiv w:val="1"/>
      <w:marLeft w:val="0"/>
      <w:marRight w:val="0"/>
      <w:marTop w:val="0"/>
      <w:marBottom w:val="0"/>
      <w:divBdr>
        <w:top w:val="none" w:sz="0" w:space="0" w:color="auto"/>
        <w:left w:val="none" w:sz="0" w:space="0" w:color="auto"/>
        <w:bottom w:val="none" w:sz="0" w:space="0" w:color="auto"/>
        <w:right w:val="none" w:sz="0" w:space="0" w:color="auto"/>
      </w:divBdr>
    </w:div>
    <w:div w:id="492138630">
      <w:bodyDiv w:val="1"/>
      <w:marLeft w:val="0"/>
      <w:marRight w:val="0"/>
      <w:marTop w:val="0"/>
      <w:marBottom w:val="0"/>
      <w:divBdr>
        <w:top w:val="none" w:sz="0" w:space="0" w:color="auto"/>
        <w:left w:val="none" w:sz="0" w:space="0" w:color="auto"/>
        <w:bottom w:val="none" w:sz="0" w:space="0" w:color="auto"/>
        <w:right w:val="none" w:sz="0" w:space="0" w:color="auto"/>
      </w:divBdr>
    </w:div>
    <w:div w:id="492374843">
      <w:bodyDiv w:val="1"/>
      <w:marLeft w:val="0"/>
      <w:marRight w:val="0"/>
      <w:marTop w:val="0"/>
      <w:marBottom w:val="0"/>
      <w:divBdr>
        <w:top w:val="none" w:sz="0" w:space="0" w:color="auto"/>
        <w:left w:val="none" w:sz="0" w:space="0" w:color="auto"/>
        <w:bottom w:val="none" w:sz="0" w:space="0" w:color="auto"/>
        <w:right w:val="none" w:sz="0" w:space="0" w:color="auto"/>
      </w:divBdr>
    </w:div>
    <w:div w:id="493033526">
      <w:bodyDiv w:val="1"/>
      <w:marLeft w:val="0"/>
      <w:marRight w:val="0"/>
      <w:marTop w:val="0"/>
      <w:marBottom w:val="0"/>
      <w:divBdr>
        <w:top w:val="none" w:sz="0" w:space="0" w:color="auto"/>
        <w:left w:val="none" w:sz="0" w:space="0" w:color="auto"/>
        <w:bottom w:val="none" w:sz="0" w:space="0" w:color="auto"/>
        <w:right w:val="none" w:sz="0" w:space="0" w:color="auto"/>
      </w:divBdr>
    </w:div>
    <w:div w:id="497035137">
      <w:bodyDiv w:val="1"/>
      <w:marLeft w:val="0"/>
      <w:marRight w:val="0"/>
      <w:marTop w:val="0"/>
      <w:marBottom w:val="0"/>
      <w:divBdr>
        <w:top w:val="none" w:sz="0" w:space="0" w:color="auto"/>
        <w:left w:val="none" w:sz="0" w:space="0" w:color="auto"/>
        <w:bottom w:val="none" w:sz="0" w:space="0" w:color="auto"/>
        <w:right w:val="none" w:sz="0" w:space="0" w:color="auto"/>
      </w:divBdr>
    </w:div>
    <w:div w:id="505364868">
      <w:bodyDiv w:val="1"/>
      <w:marLeft w:val="0"/>
      <w:marRight w:val="0"/>
      <w:marTop w:val="0"/>
      <w:marBottom w:val="0"/>
      <w:divBdr>
        <w:top w:val="none" w:sz="0" w:space="0" w:color="auto"/>
        <w:left w:val="none" w:sz="0" w:space="0" w:color="auto"/>
        <w:bottom w:val="none" w:sz="0" w:space="0" w:color="auto"/>
        <w:right w:val="none" w:sz="0" w:space="0" w:color="auto"/>
      </w:divBdr>
    </w:div>
    <w:div w:id="508912809">
      <w:bodyDiv w:val="1"/>
      <w:marLeft w:val="0"/>
      <w:marRight w:val="0"/>
      <w:marTop w:val="0"/>
      <w:marBottom w:val="0"/>
      <w:divBdr>
        <w:top w:val="none" w:sz="0" w:space="0" w:color="auto"/>
        <w:left w:val="none" w:sz="0" w:space="0" w:color="auto"/>
        <w:bottom w:val="none" w:sz="0" w:space="0" w:color="auto"/>
        <w:right w:val="none" w:sz="0" w:space="0" w:color="auto"/>
      </w:divBdr>
    </w:div>
    <w:div w:id="513540786">
      <w:bodyDiv w:val="1"/>
      <w:marLeft w:val="0"/>
      <w:marRight w:val="0"/>
      <w:marTop w:val="0"/>
      <w:marBottom w:val="0"/>
      <w:divBdr>
        <w:top w:val="none" w:sz="0" w:space="0" w:color="auto"/>
        <w:left w:val="none" w:sz="0" w:space="0" w:color="auto"/>
        <w:bottom w:val="none" w:sz="0" w:space="0" w:color="auto"/>
        <w:right w:val="none" w:sz="0" w:space="0" w:color="auto"/>
      </w:divBdr>
    </w:div>
    <w:div w:id="516507086">
      <w:bodyDiv w:val="1"/>
      <w:marLeft w:val="0"/>
      <w:marRight w:val="0"/>
      <w:marTop w:val="0"/>
      <w:marBottom w:val="0"/>
      <w:divBdr>
        <w:top w:val="none" w:sz="0" w:space="0" w:color="auto"/>
        <w:left w:val="none" w:sz="0" w:space="0" w:color="auto"/>
        <w:bottom w:val="none" w:sz="0" w:space="0" w:color="auto"/>
        <w:right w:val="none" w:sz="0" w:space="0" w:color="auto"/>
      </w:divBdr>
    </w:div>
    <w:div w:id="516969135">
      <w:bodyDiv w:val="1"/>
      <w:marLeft w:val="0"/>
      <w:marRight w:val="0"/>
      <w:marTop w:val="0"/>
      <w:marBottom w:val="0"/>
      <w:divBdr>
        <w:top w:val="none" w:sz="0" w:space="0" w:color="auto"/>
        <w:left w:val="none" w:sz="0" w:space="0" w:color="auto"/>
        <w:bottom w:val="none" w:sz="0" w:space="0" w:color="auto"/>
        <w:right w:val="none" w:sz="0" w:space="0" w:color="auto"/>
      </w:divBdr>
    </w:div>
    <w:div w:id="517815872">
      <w:bodyDiv w:val="1"/>
      <w:marLeft w:val="0"/>
      <w:marRight w:val="0"/>
      <w:marTop w:val="0"/>
      <w:marBottom w:val="0"/>
      <w:divBdr>
        <w:top w:val="none" w:sz="0" w:space="0" w:color="auto"/>
        <w:left w:val="none" w:sz="0" w:space="0" w:color="auto"/>
        <w:bottom w:val="none" w:sz="0" w:space="0" w:color="auto"/>
        <w:right w:val="none" w:sz="0" w:space="0" w:color="auto"/>
      </w:divBdr>
    </w:div>
    <w:div w:id="525339015">
      <w:bodyDiv w:val="1"/>
      <w:marLeft w:val="0"/>
      <w:marRight w:val="0"/>
      <w:marTop w:val="0"/>
      <w:marBottom w:val="0"/>
      <w:divBdr>
        <w:top w:val="none" w:sz="0" w:space="0" w:color="auto"/>
        <w:left w:val="none" w:sz="0" w:space="0" w:color="auto"/>
        <w:bottom w:val="none" w:sz="0" w:space="0" w:color="auto"/>
        <w:right w:val="none" w:sz="0" w:space="0" w:color="auto"/>
      </w:divBdr>
    </w:div>
    <w:div w:id="541017174">
      <w:bodyDiv w:val="1"/>
      <w:marLeft w:val="0"/>
      <w:marRight w:val="0"/>
      <w:marTop w:val="0"/>
      <w:marBottom w:val="0"/>
      <w:divBdr>
        <w:top w:val="none" w:sz="0" w:space="0" w:color="auto"/>
        <w:left w:val="none" w:sz="0" w:space="0" w:color="auto"/>
        <w:bottom w:val="none" w:sz="0" w:space="0" w:color="auto"/>
        <w:right w:val="none" w:sz="0" w:space="0" w:color="auto"/>
      </w:divBdr>
    </w:div>
    <w:div w:id="545719884">
      <w:bodyDiv w:val="1"/>
      <w:marLeft w:val="0"/>
      <w:marRight w:val="0"/>
      <w:marTop w:val="0"/>
      <w:marBottom w:val="0"/>
      <w:divBdr>
        <w:top w:val="none" w:sz="0" w:space="0" w:color="auto"/>
        <w:left w:val="none" w:sz="0" w:space="0" w:color="auto"/>
        <w:bottom w:val="none" w:sz="0" w:space="0" w:color="auto"/>
        <w:right w:val="none" w:sz="0" w:space="0" w:color="auto"/>
      </w:divBdr>
    </w:div>
    <w:div w:id="546994950">
      <w:bodyDiv w:val="1"/>
      <w:marLeft w:val="0"/>
      <w:marRight w:val="0"/>
      <w:marTop w:val="0"/>
      <w:marBottom w:val="0"/>
      <w:divBdr>
        <w:top w:val="none" w:sz="0" w:space="0" w:color="auto"/>
        <w:left w:val="none" w:sz="0" w:space="0" w:color="auto"/>
        <w:bottom w:val="none" w:sz="0" w:space="0" w:color="auto"/>
        <w:right w:val="none" w:sz="0" w:space="0" w:color="auto"/>
      </w:divBdr>
    </w:div>
    <w:div w:id="553584480">
      <w:bodyDiv w:val="1"/>
      <w:marLeft w:val="0"/>
      <w:marRight w:val="0"/>
      <w:marTop w:val="0"/>
      <w:marBottom w:val="0"/>
      <w:divBdr>
        <w:top w:val="none" w:sz="0" w:space="0" w:color="auto"/>
        <w:left w:val="none" w:sz="0" w:space="0" w:color="auto"/>
        <w:bottom w:val="none" w:sz="0" w:space="0" w:color="auto"/>
        <w:right w:val="none" w:sz="0" w:space="0" w:color="auto"/>
      </w:divBdr>
    </w:div>
    <w:div w:id="563952428">
      <w:bodyDiv w:val="1"/>
      <w:marLeft w:val="0"/>
      <w:marRight w:val="0"/>
      <w:marTop w:val="0"/>
      <w:marBottom w:val="0"/>
      <w:divBdr>
        <w:top w:val="none" w:sz="0" w:space="0" w:color="auto"/>
        <w:left w:val="none" w:sz="0" w:space="0" w:color="auto"/>
        <w:bottom w:val="none" w:sz="0" w:space="0" w:color="auto"/>
        <w:right w:val="none" w:sz="0" w:space="0" w:color="auto"/>
      </w:divBdr>
    </w:div>
    <w:div w:id="566451843">
      <w:bodyDiv w:val="1"/>
      <w:marLeft w:val="0"/>
      <w:marRight w:val="0"/>
      <w:marTop w:val="0"/>
      <w:marBottom w:val="0"/>
      <w:divBdr>
        <w:top w:val="none" w:sz="0" w:space="0" w:color="auto"/>
        <w:left w:val="none" w:sz="0" w:space="0" w:color="auto"/>
        <w:bottom w:val="none" w:sz="0" w:space="0" w:color="auto"/>
        <w:right w:val="none" w:sz="0" w:space="0" w:color="auto"/>
      </w:divBdr>
    </w:div>
    <w:div w:id="573127809">
      <w:bodyDiv w:val="1"/>
      <w:marLeft w:val="0"/>
      <w:marRight w:val="0"/>
      <w:marTop w:val="0"/>
      <w:marBottom w:val="0"/>
      <w:divBdr>
        <w:top w:val="none" w:sz="0" w:space="0" w:color="auto"/>
        <w:left w:val="none" w:sz="0" w:space="0" w:color="auto"/>
        <w:bottom w:val="none" w:sz="0" w:space="0" w:color="auto"/>
        <w:right w:val="none" w:sz="0" w:space="0" w:color="auto"/>
      </w:divBdr>
    </w:div>
    <w:div w:id="577248592">
      <w:bodyDiv w:val="1"/>
      <w:marLeft w:val="0"/>
      <w:marRight w:val="0"/>
      <w:marTop w:val="0"/>
      <w:marBottom w:val="0"/>
      <w:divBdr>
        <w:top w:val="none" w:sz="0" w:space="0" w:color="auto"/>
        <w:left w:val="none" w:sz="0" w:space="0" w:color="auto"/>
        <w:bottom w:val="none" w:sz="0" w:space="0" w:color="auto"/>
        <w:right w:val="none" w:sz="0" w:space="0" w:color="auto"/>
      </w:divBdr>
    </w:div>
    <w:div w:id="577518545">
      <w:bodyDiv w:val="1"/>
      <w:marLeft w:val="0"/>
      <w:marRight w:val="0"/>
      <w:marTop w:val="0"/>
      <w:marBottom w:val="0"/>
      <w:divBdr>
        <w:top w:val="none" w:sz="0" w:space="0" w:color="auto"/>
        <w:left w:val="none" w:sz="0" w:space="0" w:color="auto"/>
        <w:bottom w:val="none" w:sz="0" w:space="0" w:color="auto"/>
        <w:right w:val="none" w:sz="0" w:space="0" w:color="auto"/>
      </w:divBdr>
    </w:div>
    <w:div w:id="577598949">
      <w:bodyDiv w:val="1"/>
      <w:marLeft w:val="0"/>
      <w:marRight w:val="0"/>
      <w:marTop w:val="0"/>
      <w:marBottom w:val="0"/>
      <w:divBdr>
        <w:top w:val="none" w:sz="0" w:space="0" w:color="auto"/>
        <w:left w:val="none" w:sz="0" w:space="0" w:color="auto"/>
        <w:bottom w:val="none" w:sz="0" w:space="0" w:color="auto"/>
        <w:right w:val="none" w:sz="0" w:space="0" w:color="auto"/>
      </w:divBdr>
    </w:div>
    <w:div w:id="583420827">
      <w:bodyDiv w:val="1"/>
      <w:marLeft w:val="0"/>
      <w:marRight w:val="0"/>
      <w:marTop w:val="0"/>
      <w:marBottom w:val="0"/>
      <w:divBdr>
        <w:top w:val="none" w:sz="0" w:space="0" w:color="auto"/>
        <w:left w:val="none" w:sz="0" w:space="0" w:color="auto"/>
        <w:bottom w:val="none" w:sz="0" w:space="0" w:color="auto"/>
        <w:right w:val="none" w:sz="0" w:space="0" w:color="auto"/>
      </w:divBdr>
    </w:div>
    <w:div w:id="587353903">
      <w:bodyDiv w:val="1"/>
      <w:marLeft w:val="0"/>
      <w:marRight w:val="0"/>
      <w:marTop w:val="0"/>
      <w:marBottom w:val="0"/>
      <w:divBdr>
        <w:top w:val="none" w:sz="0" w:space="0" w:color="auto"/>
        <w:left w:val="none" w:sz="0" w:space="0" w:color="auto"/>
        <w:bottom w:val="none" w:sz="0" w:space="0" w:color="auto"/>
        <w:right w:val="none" w:sz="0" w:space="0" w:color="auto"/>
      </w:divBdr>
    </w:div>
    <w:div w:id="590744336">
      <w:bodyDiv w:val="1"/>
      <w:marLeft w:val="0"/>
      <w:marRight w:val="0"/>
      <w:marTop w:val="0"/>
      <w:marBottom w:val="0"/>
      <w:divBdr>
        <w:top w:val="none" w:sz="0" w:space="0" w:color="auto"/>
        <w:left w:val="none" w:sz="0" w:space="0" w:color="auto"/>
        <w:bottom w:val="none" w:sz="0" w:space="0" w:color="auto"/>
        <w:right w:val="none" w:sz="0" w:space="0" w:color="auto"/>
      </w:divBdr>
    </w:div>
    <w:div w:id="591934700">
      <w:bodyDiv w:val="1"/>
      <w:marLeft w:val="0"/>
      <w:marRight w:val="0"/>
      <w:marTop w:val="0"/>
      <w:marBottom w:val="0"/>
      <w:divBdr>
        <w:top w:val="none" w:sz="0" w:space="0" w:color="auto"/>
        <w:left w:val="none" w:sz="0" w:space="0" w:color="auto"/>
        <w:bottom w:val="none" w:sz="0" w:space="0" w:color="auto"/>
        <w:right w:val="none" w:sz="0" w:space="0" w:color="auto"/>
      </w:divBdr>
    </w:div>
    <w:div w:id="594482244">
      <w:bodyDiv w:val="1"/>
      <w:marLeft w:val="0"/>
      <w:marRight w:val="0"/>
      <w:marTop w:val="0"/>
      <w:marBottom w:val="0"/>
      <w:divBdr>
        <w:top w:val="none" w:sz="0" w:space="0" w:color="auto"/>
        <w:left w:val="none" w:sz="0" w:space="0" w:color="auto"/>
        <w:bottom w:val="none" w:sz="0" w:space="0" w:color="auto"/>
        <w:right w:val="none" w:sz="0" w:space="0" w:color="auto"/>
      </w:divBdr>
    </w:div>
    <w:div w:id="595594063">
      <w:bodyDiv w:val="1"/>
      <w:marLeft w:val="0"/>
      <w:marRight w:val="0"/>
      <w:marTop w:val="0"/>
      <w:marBottom w:val="0"/>
      <w:divBdr>
        <w:top w:val="none" w:sz="0" w:space="0" w:color="auto"/>
        <w:left w:val="none" w:sz="0" w:space="0" w:color="auto"/>
        <w:bottom w:val="none" w:sz="0" w:space="0" w:color="auto"/>
        <w:right w:val="none" w:sz="0" w:space="0" w:color="auto"/>
      </w:divBdr>
    </w:div>
    <w:div w:id="613248742">
      <w:bodyDiv w:val="1"/>
      <w:marLeft w:val="0"/>
      <w:marRight w:val="0"/>
      <w:marTop w:val="0"/>
      <w:marBottom w:val="0"/>
      <w:divBdr>
        <w:top w:val="none" w:sz="0" w:space="0" w:color="auto"/>
        <w:left w:val="none" w:sz="0" w:space="0" w:color="auto"/>
        <w:bottom w:val="none" w:sz="0" w:space="0" w:color="auto"/>
        <w:right w:val="none" w:sz="0" w:space="0" w:color="auto"/>
      </w:divBdr>
    </w:div>
    <w:div w:id="619654665">
      <w:bodyDiv w:val="1"/>
      <w:marLeft w:val="0"/>
      <w:marRight w:val="0"/>
      <w:marTop w:val="0"/>
      <w:marBottom w:val="0"/>
      <w:divBdr>
        <w:top w:val="none" w:sz="0" w:space="0" w:color="auto"/>
        <w:left w:val="none" w:sz="0" w:space="0" w:color="auto"/>
        <w:bottom w:val="none" w:sz="0" w:space="0" w:color="auto"/>
        <w:right w:val="none" w:sz="0" w:space="0" w:color="auto"/>
      </w:divBdr>
    </w:div>
    <w:div w:id="623196746">
      <w:bodyDiv w:val="1"/>
      <w:marLeft w:val="0"/>
      <w:marRight w:val="0"/>
      <w:marTop w:val="0"/>
      <w:marBottom w:val="0"/>
      <w:divBdr>
        <w:top w:val="none" w:sz="0" w:space="0" w:color="auto"/>
        <w:left w:val="none" w:sz="0" w:space="0" w:color="auto"/>
        <w:bottom w:val="none" w:sz="0" w:space="0" w:color="auto"/>
        <w:right w:val="none" w:sz="0" w:space="0" w:color="auto"/>
      </w:divBdr>
    </w:div>
    <w:div w:id="630357162">
      <w:bodyDiv w:val="1"/>
      <w:marLeft w:val="0"/>
      <w:marRight w:val="0"/>
      <w:marTop w:val="0"/>
      <w:marBottom w:val="0"/>
      <w:divBdr>
        <w:top w:val="none" w:sz="0" w:space="0" w:color="auto"/>
        <w:left w:val="none" w:sz="0" w:space="0" w:color="auto"/>
        <w:bottom w:val="none" w:sz="0" w:space="0" w:color="auto"/>
        <w:right w:val="none" w:sz="0" w:space="0" w:color="auto"/>
      </w:divBdr>
    </w:div>
    <w:div w:id="631450263">
      <w:bodyDiv w:val="1"/>
      <w:marLeft w:val="0"/>
      <w:marRight w:val="0"/>
      <w:marTop w:val="0"/>
      <w:marBottom w:val="0"/>
      <w:divBdr>
        <w:top w:val="none" w:sz="0" w:space="0" w:color="auto"/>
        <w:left w:val="none" w:sz="0" w:space="0" w:color="auto"/>
        <w:bottom w:val="none" w:sz="0" w:space="0" w:color="auto"/>
        <w:right w:val="none" w:sz="0" w:space="0" w:color="auto"/>
      </w:divBdr>
    </w:div>
    <w:div w:id="637958830">
      <w:bodyDiv w:val="1"/>
      <w:marLeft w:val="0"/>
      <w:marRight w:val="0"/>
      <w:marTop w:val="0"/>
      <w:marBottom w:val="0"/>
      <w:divBdr>
        <w:top w:val="none" w:sz="0" w:space="0" w:color="auto"/>
        <w:left w:val="none" w:sz="0" w:space="0" w:color="auto"/>
        <w:bottom w:val="none" w:sz="0" w:space="0" w:color="auto"/>
        <w:right w:val="none" w:sz="0" w:space="0" w:color="auto"/>
      </w:divBdr>
    </w:div>
    <w:div w:id="660080252">
      <w:bodyDiv w:val="1"/>
      <w:marLeft w:val="0"/>
      <w:marRight w:val="0"/>
      <w:marTop w:val="0"/>
      <w:marBottom w:val="0"/>
      <w:divBdr>
        <w:top w:val="none" w:sz="0" w:space="0" w:color="auto"/>
        <w:left w:val="none" w:sz="0" w:space="0" w:color="auto"/>
        <w:bottom w:val="none" w:sz="0" w:space="0" w:color="auto"/>
        <w:right w:val="none" w:sz="0" w:space="0" w:color="auto"/>
      </w:divBdr>
    </w:div>
    <w:div w:id="664821068">
      <w:bodyDiv w:val="1"/>
      <w:marLeft w:val="0"/>
      <w:marRight w:val="0"/>
      <w:marTop w:val="0"/>
      <w:marBottom w:val="0"/>
      <w:divBdr>
        <w:top w:val="none" w:sz="0" w:space="0" w:color="auto"/>
        <w:left w:val="none" w:sz="0" w:space="0" w:color="auto"/>
        <w:bottom w:val="none" w:sz="0" w:space="0" w:color="auto"/>
        <w:right w:val="none" w:sz="0" w:space="0" w:color="auto"/>
      </w:divBdr>
    </w:div>
    <w:div w:id="677773762">
      <w:bodyDiv w:val="1"/>
      <w:marLeft w:val="0"/>
      <w:marRight w:val="0"/>
      <w:marTop w:val="0"/>
      <w:marBottom w:val="0"/>
      <w:divBdr>
        <w:top w:val="none" w:sz="0" w:space="0" w:color="auto"/>
        <w:left w:val="none" w:sz="0" w:space="0" w:color="auto"/>
        <w:bottom w:val="none" w:sz="0" w:space="0" w:color="auto"/>
        <w:right w:val="none" w:sz="0" w:space="0" w:color="auto"/>
      </w:divBdr>
    </w:div>
    <w:div w:id="680275148">
      <w:bodyDiv w:val="1"/>
      <w:marLeft w:val="0"/>
      <w:marRight w:val="0"/>
      <w:marTop w:val="0"/>
      <w:marBottom w:val="0"/>
      <w:divBdr>
        <w:top w:val="none" w:sz="0" w:space="0" w:color="auto"/>
        <w:left w:val="none" w:sz="0" w:space="0" w:color="auto"/>
        <w:bottom w:val="none" w:sz="0" w:space="0" w:color="auto"/>
        <w:right w:val="none" w:sz="0" w:space="0" w:color="auto"/>
      </w:divBdr>
    </w:div>
    <w:div w:id="681206863">
      <w:bodyDiv w:val="1"/>
      <w:marLeft w:val="0"/>
      <w:marRight w:val="0"/>
      <w:marTop w:val="0"/>
      <w:marBottom w:val="0"/>
      <w:divBdr>
        <w:top w:val="none" w:sz="0" w:space="0" w:color="auto"/>
        <w:left w:val="none" w:sz="0" w:space="0" w:color="auto"/>
        <w:bottom w:val="none" w:sz="0" w:space="0" w:color="auto"/>
        <w:right w:val="none" w:sz="0" w:space="0" w:color="auto"/>
      </w:divBdr>
    </w:div>
    <w:div w:id="681250358">
      <w:bodyDiv w:val="1"/>
      <w:marLeft w:val="0"/>
      <w:marRight w:val="0"/>
      <w:marTop w:val="0"/>
      <w:marBottom w:val="0"/>
      <w:divBdr>
        <w:top w:val="none" w:sz="0" w:space="0" w:color="auto"/>
        <w:left w:val="none" w:sz="0" w:space="0" w:color="auto"/>
        <w:bottom w:val="none" w:sz="0" w:space="0" w:color="auto"/>
        <w:right w:val="none" w:sz="0" w:space="0" w:color="auto"/>
      </w:divBdr>
    </w:div>
    <w:div w:id="698431784">
      <w:bodyDiv w:val="1"/>
      <w:marLeft w:val="0"/>
      <w:marRight w:val="0"/>
      <w:marTop w:val="0"/>
      <w:marBottom w:val="0"/>
      <w:divBdr>
        <w:top w:val="none" w:sz="0" w:space="0" w:color="auto"/>
        <w:left w:val="none" w:sz="0" w:space="0" w:color="auto"/>
        <w:bottom w:val="none" w:sz="0" w:space="0" w:color="auto"/>
        <w:right w:val="none" w:sz="0" w:space="0" w:color="auto"/>
      </w:divBdr>
    </w:div>
    <w:div w:id="708728784">
      <w:bodyDiv w:val="1"/>
      <w:marLeft w:val="0"/>
      <w:marRight w:val="0"/>
      <w:marTop w:val="0"/>
      <w:marBottom w:val="0"/>
      <w:divBdr>
        <w:top w:val="none" w:sz="0" w:space="0" w:color="auto"/>
        <w:left w:val="none" w:sz="0" w:space="0" w:color="auto"/>
        <w:bottom w:val="none" w:sz="0" w:space="0" w:color="auto"/>
        <w:right w:val="none" w:sz="0" w:space="0" w:color="auto"/>
      </w:divBdr>
    </w:div>
    <w:div w:id="710156997">
      <w:bodyDiv w:val="1"/>
      <w:marLeft w:val="0"/>
      <w:marRight w:val="0"/>
      <w:marTop w:val="0"/>
      <w:marBottom w:val="0"/>
      <w:divBdr>
        <w:top w:val="none" w:sz="0" w:space="0" w:color="auto"/>
        <w:left w:val="none" w:sz="0" w:space="0" w:color="auto"/>
        <w:bottom w:val="none" w:sz="0" w:space="0" w:color="auto"/>
        <w:right w:val="none" w:sz="0" w:space="0" w:color="auto"/>
      </w:divBdr>
    </w:div>
    <w:div w:id="710417605">
      <w:bodyDiv w:val="1"/>
      <w:marLeft w:val="0"/>
      <w:marRight w:val="0"/>
      <w:marTop w:val="0"/>
      <w:marBottom w:val="0"/>
      <w:divBdr>
        <w:top w:val="none" w:sz="0" w:space="0" w:color="auto"/>
        <w:left w:val="none" w:sz="0" w:space="0" w:color="auto"/>
        <w:bottom w:val="none" w:sz="0" w:space="0" w:color="auto"/>
        <w:right w:val="none" w:sz="0" w:space="0" w:color="auto"/>
      </w:divBdr>
    </w:div>
    <w:div w:id="711423016">
      <w:bodyDiv w:val="1"/>
      <w:marLeft w:val="0"/>
      <w:marRight w:val="0"/>
      <w:marTop w:val="0"/>
      <w:marBottom w:val="0"/>
      <w:divBdr>
        <w:top w:val="none" w:sz="0" w:space="0" w:color="auto"/>
        <w:left w:val="none" w:sz="0" w:space="0" w:color="auto"/>
        <w:bottom w:val="none" w:sz="0" w:space="0" w:color="auto"/>
        <w:right w:val="none" w:sz="0" w:space="0" w:color="auto"/>
      </w:divBdr>
    </w:div>
    <w:div w:id="718363463">
      <w:bodyDiv w:val="1"/>
      <w:marLeft w:val="0"/>
      <w:marRight w:val="0"/>
      <w:marTop w:val="0"/>
      <w:marBottom w:val="0"/>
      <w:divBdr>
        <w:top w:val="none" w:sz="0" w:space="0" w:color="auto"/>
        <w:left w:val="none" w:sz="0" w:space="0" w:color="auto"/>
        <w:bottom w:val="none" w:sz="0" w:space="0" w:color="auto"/>
        <w:right w:val="none" w:sz="0" w:space="0" w:color="auto"/>
      </w:divBdr>
    </w:div>
    <w:div w:id="733040683">
      <w:bodyDiv w:val="1"/>
      <w:marLeft w:val="0"/>
      <w:marRight w:val="0"/>
      <w:marTop w:val="0"/>
      <w:marBottom w:val="0"/>
      <w:divBdr>
        <w:top w:val="none" w:sz="0" w:space="0" w:color="auto"/>
        <w:left w:val="none" w:sz="0" w:space="0" w:color="auto"/>
        <w:bottom w:val="none" w:sz="0" w:space="0" w:color="auto"/>
        <w:right w:val="none" w:sz="0" w:space="0" w:color="auto"/>
      </w:divBdr>
    </w:div>
    <w:div w:id="737215557">
      <w:bodyDiv w:val="1"/>
      <w:marLeft w:val="0"/>
      <w:marRight w:val="0"/>
      <w:marTop w:val="0"/>
      <w:marBottom w:val="0"/>
      <w:divBdr>
        <w:top w:val="none" w:sz="0" w:space="0" w:color="auto"/>
        <w:left w:val="none" w:sz="0" w:space="0" w:color="auto"/>
        <w:bottom w:val="none" w:sz="0" w:space="0" w:color="auto"/>
        <w:right w:val="none" w:sz="0" w:space="0" w:color="auto"/>
      </w:divBdr>
    </w:div>
    <w:div w:id="741030251">
      <w:bodyDiv w:val="1"/>
      <w:marLeft w:val="0"/>
      <w:marRight w:val="0"/>
      <w:marTop w:val="0"/>
      <w:marBottom w:val="0"/>
      <w:divBdr>
        <w:top w:val="none" w:sz="0" w:space="0" w:color="auto"/>
        <w:left w:val="none" w:sz="0" w:space="0" w:color="auto"/>
        <w:bottom w:val="none" w:sz="0" w:space="0" w:color="auto"/>
        <w:right w:val="none" w:sz="0" w:space="0" w:color="auto"/>
      </w:divBdr>
    </w:div>
    <w:div w:id="744182171">
      <w:bodyDiv w:val="1"/>
      <w:marLeft w:val="0"/>
      <w:marRight w:val="0"/>
      <w:marTop w:val="0"/>
      <w:marBottom w:val="0"/>
      <w:divBdr>
        <w:top w:val="none" w:sz="0" w:space="0" w:color="auto"/>
        <w:left w:val="none" w:sz="0" w:space="0" w:color="auto"/>
        <w:bottom w:val="none" w:sz="0" w:space="0" w:color="auto"/>
        <w:right w:val="none" w:sz="0" w:space="0" w:color="auto"/>
      </w:divBdr>
    </w:div>
    <w:div w:id="750851562">
      <w:bodyDiv w:val="1"/>
      <w:marLeft w:val="0"/>
      <w:marRight w:val="0"/>
      <w:marTop w:val="0"/>
      <w:marBottom w:val="0"/>
      <w:divBdr>
        <w:top w:val="none" w:sz="0" w:space="0" w:color="auto"/>
        <w:left w:val="none" w:sz="0" w:space="0" w:color="auto"/>
        <w:bottom w:val="none" w:sz="0" w:space="0" w:color="auto"/>
        <w:right w:val="none" w:sz="0" w:space="0" w:color="auto"/>
      </w:divBdr>
    </w:div>
    <w:div w:id="755253317">
      <w:bodyDiv w:val="1"/>
      <w:marLeft w:val="0"/>
      <w:marRight w:val="0"/>
      <w:marTop w:val="0"/>
      <w:marBottom w:val="0"/>
      <w:divBdr>
        <w:top w:val="none" w:sz="0" w:space="0" w:color="auto"/>
        <w:left w:val="none" w:sz="0" w:space="0" w:color="auto"/>
        <w:bottom w:val="none" w:sz="0" w:space="0" w:color="auto"/>
        <w:right w:val="none" w:sz="0" w:space="0" w:color="auto"/>
      </w:divBdr>
    </w:div>
    <w:div w:id="759136215">
      <w:bodyDiv w:val="1"/>
      <w:marLeft w:val="0"/>
      <w:marRight w:val="0"/>
      <w:marTop w:val="0"/>
      <w:marBottom w:val="0"/>
      <w:divBdr>
        <w:top w:val="none" w:sz="0" w:space="0" w:color="auto"/>
        <w:left w:val="none" w:sz="0" w:space="0" w:color="auto"/>
        <w:bottom w:val="none" w:sz="0" w:space="0" w:color="auto"/>
        <w:right w:val="none" w:sz="0" w:space="0" w:color="auto"/>
      </w:divBdr>
    </w:div>
    <w:div w:id="759788822">
      <w:bodyDiv w:val="1"/>
      <w:marLeft w:val="0"/>
      <w:marRight w:val="0"/>
      <w:marTop w:val="0"/>
      <w:marBottom w:val="0"/>
      <w:divBdr>
        <w:top w:val="none" w:sz="0" w:space="0" w:color="auto"/>
        <w:left w:val="none" w:sz="0" w:space="0" w:color="auto"/>
        <w:bottom w:val="none" w:sz="0" w:space="0" w:color="auto"/>
        <w:right w:val="none" w:sz="0" w:space="0" w:color="auto"/>
      </w:divBdr>
    </w:div>
    <w:div w:id="760219116">
      <w:bodyDiv w:val="1"/>
      <w:marLeft w:val="0"/>
      <w:marRight w:val="0"/>
      <w:marTop w:val="0"/>
      <w:marBottom w:val="0"/>
      <w:divBdr>
        <w:top w:val="none" w:sz="0" w:space="0" w:color="auto"/>
        <w:left w:val="none" w:sz="0" w:space="0" w:color="auto"/>
        <w:bottom w:val="none" w:sz="0" w:space="0" w:color="auto"/>
        <w:right w:val="none" w:sz="0" w:space="0" w:color="auto"/>
      </w:divBdr>
    </w:div>
    <w:div w:id="761806143">
      <w:bodyDiv w:val="1"/>
      <w:marLeft w:val="0"/>
      <w:marRight w:val="0"/>
      <w:marTop w:val="0"/>
      <w:marBottom w:val="0"/>
      <w:divBdr>
        <w:top w:val="none" w:sz="0" w:space="0" w:color="auto"/>
        <w:left w:val="none" w:sz="0" w:space="0" w:color="auto"/>
        <w:bottom w:val="none" w:sz="0" w:space="0" w:color="auto"/>
        <w:right w:val="none" w:sz="0" w:space="0" w:color="auto"/>
      </w:divBdr>
    </w:div>
    <w:div w:id="771121433">
      <w:bodyDiv w:val="1"/>
      <w:marLeft w:val="0"/>
      <w:marRight w:val="0"/>
      <w:marTop w:val="0"/>
      <w:marBottom w:val="0"/>
      <w:divBdr>
        <w:top w:val="none" w:sz="0" w:space="0" w:color="auto"/>
        <w:left w:val="none" w:sz="0" w:space="0" w:color="auto"/>
        <w:bottom w:val="none" w:sz="0" w:space="0" w:color="auto"/>
        <w:right w:val="none" w:sz="0" w:space="0" w:color="auto"/>
      </w:divBdr>
    </w:div>
    <w:div w:id="771439719">
      <w:bodyDiv w:val="1"/>
      <w:marLeft w:val="0"/>
      <w:marRight w:val="0"/>
      <w:marTop w:val="0"/>
      <w:marBottom w:val="0"/>
      <w:divBdr>
        <w:top w:val="none" w:sz="0" w:space="0" w:color="auto"/>
        <w:left w:val="none" w:sz="0" w:space="0" w:color="auto"/>
        <w:bottom w:val="none" w:sz="0" w:space="0" w:color="auto"/>
        <w:right w:val="none" w:sz="0" w:space="0" w:color="auto"/>
      </w:divBdr>
    </w:div>
    <w:div w:id="779879720">
      <w:bodyDiv w:val="1"/>
      <w:marLeft w:val="0"/>
      <w:marRight w:val="0"/>
      <w:marTop w:val="0"/>
      <w:marBottom w:val="0"/>
      <w:divBdr>
        <w:top w:val="none" w:sz="0" w:space="0" w:color="auto"/>
        <w:left w:val="none" w:sz="0" w:space="0" w:color="auto"/>
        <w:bottom w:val="none" w:sz="0" w:space="0" w:color="auto"/>
        <w:right w:val="none" w:sz="0" w:space="0" w:color="auto"/>
      </w:divBdr>
    </w:div>
    <w:div w:id="780225171">
      <w:bodyDiv w:val="1"/>
      <w:marLeft w:val="0"/>
      <w:marRight w:val="0"/>
      <w:marTop w:val="0"/>
      <w:marBottom w:val="0"/>
      <w:divBdr>
        <w:top w:val="none" w:sz="0" w:space="0" w:color="auto"/>
        <w:left w:val="none" w:sz="0" w:space="0" w:color="auto"/>
        <w:bottom w:val="none" w:sz="0" w:space="0" w:color="auto"/>
        <w:right w:val="none" w:sz="0" w:space="0" w:color="auto"/>
      </w:divBdr>
    </w:div>
    <w:div w:id="783962443">
      <w:bodyDiv w:val="1"/>
      <w:marLeft w:val="0"/>
      <w:marRight w:val="0"/>
      <w:marTop w:val="0"/>
      <w:marBottom w:val="0"/>
      <w:divBdr>
        <w:top w:val="none" w:sz="0" w:space="0" w:color="auto"/>
        <w:left w:val="none" w:sz="0" w:space="0" w:color="auto"/>
        <w:bottom w:val="none" w:sz="0" w:space="0" w:color="auto"/>
        <w:right w:val="none" w:sz="0" w:space="0" w:color="auto"/>
      </w:divBdr>
    </w:div>
    <w:div w:id="794955854">
      <w:bodyDiv w:val="1"/>
      <w:marLeft w:val="0"/>
      <w:marRight w:val="0"/>
      <w:marTop w:val="0"/>
      <w:marBottom w:val="0"/>
      <w:divBdr>
        <w:top w:val="none" w:sz="0" w:space="0" w:color="auto"/>
        <w:left w:val="none" w:sz="0" w:space="0" w:color="auto"/>
        <w:bottom w:val="none" w:sz="0" w:space="0" w:color="auto"/>
        <w:right w:val="none" w:sz="0" w:space="0" w:color="auto"/>
      </w:divBdr>
    </w:div>
    <w:div w:id="802769778">
      <w:bodyDiv w:val="1"/>
      <w:marLeft w:val="0"/>
      <w:marRight w:val="0"/>
      <w:marTop w:val="0"/>
      <w:marBottom w:val="0"/>
      <w:divBdr>
        <w:top w:val="none" w:sz="0" w:space="0" w:color="auto"/>
        <w:left w:val="none" w:sz="0" w:space="0" w:color="auto"/>
        <w:bottom w:val="none" w:sz="0" w:space="0" w:color="auto"/>
        <w:right w:val="none" w:sz="0" w:space="0" w:color="auto"/>
      </w:divBdr>
    </w:div>
    <w:div w:id="803615978">
      <w:bodyDiv w:val="1"/>
      <w:marLeft w:val="0"/>
      <w:marRight w:val="0"/>
      <w:marTop w:val="0"/>
      <w:marBottom w:val="0"/>
      <w:divBdr>
        <w:top w:val="none" w:sz="0" w:space="0" w:color="auto"/>
        <w:left w:val="none" w:sz="0" w:space="0" w:color="auto"/>
        <w:bottom w:val="none" w:sz="0" w:space="0" w:color="auto"/>
        <w:right w:val="none" w:sz="0" w:space="0" w:color="auto"/>
      </w:divBdr>
    </w:div>
    <w:div w:id="806700646">
      <w:bodyDiv w:val="1"/>
      <w:marLeft w:val="0"/>
      <w:marRight w:val="0"/>
      <w:marTop w:val="0"/>
      <w:marBottom w:val="0"/>
      <w:divBdr>
        <w:top w:val="none" w:sz="0" w:space="0" w:color="auto"/>
        <w:left w:val="none" w:sz="0" w:space="0" w:color="auto"/>
        <w:bottom w:val="none" w:sz="0" w:space="0" w:color="auto"/>
        <w:right w:val="none" w:sz="0" w:space="0" w:color="auto"/>
      </w:divBdr>
    </w:div>
    <w:div w:id="813331781">
      <w:bodyDiv w:val="1"/>
      <w:marLeft w:val="0"/>
      <w:marRight w:val="0"/>
      <w:marTop w:val="0"/>
      <w:marBottom w:val="0"/>
      <w:divBdr>
        <w:top w:val="none" w:sz="0" w:space="0" w:color="auto"/>
        <w:left w:val="none" w:sz="0" w:space="0" w:color="auto"/>
        <w:bottom w:val="none" w:sz="0" w:space="0" w:color="auto"/>
        <w:right w:val="none" w:sz="0" w:space="0" w:color="auto"/>
      </w:divBdr>
    </w:div>
    <w:div w:id="820117671">
      <w:bodyDiv w:val="1"/>
      <w:marLeft w:val="0"/>
      <w:marRight w:val="0"/>
      <w:marTop w:val="0"/>
      <w:marBottom w:val="0"/>
      <w:divBdr>
        <w:top w:val="none" w:sz="0" w:space="0" w:color="auto"/>
        <w:left w:val="none" w:sz="0" w:space="0" w:color="auto"/>
        <w:bottom w:val="none" w:sz="0" w:space="0" w:color="auto"/>
        <w:right w:val="none" w:sz="0" w:space="0" w:color="auto"/>
      </w:divBdr>
    </w:div>
    <w:div w:id="830097294">
      <w:bodyDiv w:val="1"/>
      <w:marLeft w:val="0"/>
      <w:marRight w:val="0"/>
      <w:marTop w:val="0"/>
      <w:marBottom w:val="0"/>
      <w:divBdr>
        <w:top w:val="none" w:sz="0" w:space="0" w:color="auto"/>
        <w:left w:val="none" w:sz="0" w:space="0" w:color="auto"/>
        <w:bottom w:val="none" w:sz="0" w:space="0" w:color="auto"/>
        <w:right w:val="none" w:sz="0" w:space="0" w:color="auto"/>
      </w:divBdr>
    </w:div>
    <w:div w:id="849950953">
      <w:bodyDiv w:val="1"/>
      <w:marLeft w:val="0"/>
      <w:marRight w:val="0"/>
      <w:marTop w:val="0"/>
      <w:marBottom w:val="0"/>
      <w:divBdr>
        <w:top w:val="none" w:sz="0" w:space="0" w:color="auto"/>
        <w:left w:val="none" w:sz="0" w:space="0" w:color="auto"/>
        <w:bottom w:val="none" w:sz="0" w:space="0" w:color="auto"/>
        <w:right w:val="none" w:sz="0" w:space="0" w:color="auto"/>
      </w:divBdr>
    </w:div>
    <w:div w:id="856580416">
      <w:bodyDiv w:val="1"/>
      <w:marLeft w:val="0"/>
      <w:marRight w:val="0"/>
      <w:marTop w:val="0"/>
      <w:marBottom w:val="0"/>
      <w:divBdr>
        <w:top w:val="none" w:sz="0" w:space="0" w:color="auto"/>
        <w:left w:val="none" w:sz="0" w:space="0" w:color="auto"/>
        <w:bottom w:val="none" w:sz="0" w:space="0" w:color="auto"/>
        <w:right w:val="none" w:sz="0" w:space="0" w:color="auto"/>
      </w:divBdr>
    </w:div>
    <w:div w:id="860514135">
      <w:bodyDiv w:val="1"/>
      <w:marLeft w:val="0"/>
      <w:marRight w:val="0"/>
      <w:marTop w:val="0"/>
      <w:marBottom w:val="0"/>
      <w:divBdr>
        <w:top w:val="none" w:sz="0" w:space="0" w:color="auto"/>
        <w:left w:val="none" w:sz="0" w:space="0" w:color="auto"/>
        <w:bottom w:val="none" w:sz="0" w:space="0" w:color="auto"/>
        <w:right w:val="none" w:sz="0" w:space="0" w:color="auto"/>
      </w:divBdr>
    </w:div>
    <w:div w:id="864173908">
      <w:bodyDiv w:val="1"/>
      <w:marLeft w:val="0"/>
      <w:marRight w:val="0"/>
      <w:marTop w:val="0"/>
      <w:marBottom w:val="0"/>
      <w:divBdr>
        <w:top w:val="none" w:sz="0" w:space="0" w:color="auto"/>
        <w:left w:val="none" w:sz="0" w:space="0" w:color="auto"/>
        <w:bottom w:val="none" w:sz="0" w:space="0" w:color="auto"/>
        <w:right w:val="none" w:sz="0" w:space="0" w:color="auto"/>
      </w:divBdr>
    </w:div>
    <w:div w:id="878858766">
      <w:bodyDiv w:val="1"/>
      <w:marLeft w:val="0"/>
      <w:marRight w:val="0"/>
      <w:marTop w:val="0"/>
      <w:marBottom w:val="0"/>
      <w:divBdr>
        <w:top w:val="none" w:sz="0" w:space="0" w:color="auto"/>
        <w:left w:val="none" w:sz="0" w:space="0" w:color="auto"/>
        <w:bottom w:val="none" w:sz="0" w:space="0" w:color="auto"/>
        <w:right w:val="none" w:sz="0" w:space="0" w:color="auto"/>
      </w:divBdr>
    </w:div>
    <w:div w:id="887378659">
      <w:bodyDiv w:val="1"/>
      <w:marLeft w:val="0"/>
      <w:marRight w:val="0"/>
      <w:marTop w:val="0"/>
      <w:marBottom w:val="0"/>
      <w:divBdr>
        <w:top w:val="none" w:sz="0" w:space="0" w:color="auto"/>
        <w:left w:val="none" w:sz="0" w:space="0" w:color="auto"/>
        <w:bottom w:val="none" w:sz="0" w:space="0" w:color="auto"/>
        <w:right w:val="none" w:sz="0" w:space="0" w:color="auto"/>
      </w:divBdr>
    </w:div>
    <w:div w:id="898588561">
      <w:bodyDiv w:val="1"/>
      <w:marLeft w:val="0"/>
      <w:marRight w:val="0"/>
      <w:marTop w:val="0"/>
      <w:marBottom w:val="0"/>
      <w:divBdr>
        <w:top w:val="none" w:sz="0" w:space="0" w:color="auto"/>
        <w:left w:val="none" w:sz="0" w:space="0" w:color="auto"/>
        <w:bottom w:val="none" w:sz="0" w:space="0" w:color="auto"/>
        <w:right w:val="none" w:sz="0" w:space="0" w:color="auto"/>
      </w:divBdr>
    </w:div>
    <w:div w:id="909508631">
      <w:bodyDiv w:val="1"/>
      <w:marLeft w:val="0"/>
      <w:marRight w:val="0"/>
      <w:marTop w:val="0"/>
      <w:marBottom w:val="0"/>
      <w:divBdr>
        <w:top w:val="none" w:sz="0" w:space="0" w:color="auto"/>
        <w:left w:val="none" w:sz="0" w:space="0" w:color="auto"/>
        <w:bottom w:val="none" w:sz="0" w:space="0" w:color="auto"/>
        <w:right w:val="none" w:sz="0" w:space="0" w:color="auto"/>
      </w:divBdr>
    </w:div>
    <w:div w:id="913246706">
      <w:bodyDiv w:val="1"/>
      <w:marLeft w:val="0"/>
      <w:marRight w:val="0"/>
      <w:marTop w:val="0"/>
      <w:marBottom w:val="0"/>
      <w:divBdr>
        <w:top w:val="none" w:sz="0" w:space="0" w:color="auto"/>
        <w:left w:val="none" w:sz="0" w:space="0" w:color="auto"/>
        <w:bottom w:val="none" w:sz="0" w:space="0" w:color="auto"/>
        <w:right w:val="none" w:sz="0" w:space="0" w:color="auto"/>
      </w:divBdr>
    </w:div>
    <w:div w:id="915822169">
      <w:bodyDiv w:val="1"/>
      <w:marLeft w:val="0"/>
      <w:marRight w:val="0"/>
      <w:marTop w:val="0"/>
      <w:marBottom w:val="0"/>
      <w:divBdr>
        <w:top w:val="none" w:sz="0" w:space="0" w:color="auto"/>
        <w:left w:val="none" w:sz="0" w:space="0" w:color="auto"/>
        <w:bottom w:val="none" w:sz="0" w:space="0" w:color="auto"/>
        <w:right w:val="none" w:sz="0" w:space="0" w:color="auto"/>
      </w:divBdr>
    </w:div>
    <w:div w:id="918251204">
      <w:bodyDiv w:val="1"/>
      <w:marLeft w:val="0"/>
      <w:marRight w:val="0"/>
      <w:marTop w:val="0"/>
      <w:marBottom w:val="0"/>
      <w:divBdr>
        <w:top w:val="none" w:sz="0" w:space="0" w:color="auto"/>
        <w:left w:val="none" w:sz="0" w:space="0" w:color="auto"/>
        <w:bottom w:val="none" w:sz="0" w:space="0" w:color="auto"/>
        <w:right w:val="none" w:sz="0" w:space="0" w:color="auto"/>
      </w:divBdr>
    </w:div>
    <w:div w:id="922878497">
      <w:bodyDiv w:val="1"/>
      <w:marLeft w:val="0"/>
      <w:marRight w:val="0"/>
      <w:marTop w:val="0"/>
      <w:marBottom w:val="0"/>
      <w:divBdr>
        <w:top w:val="none" w:sz="0" w:space="0" w:color="auto"/>
        <w:left w:val="none" w:sz="0" w:space="0" w:color="auto"/>
        <w:bottom w:val="none" w:sz="0" w:space="0" w:color="auto"/>
        <w:right w:val="none" w:sz="0" w:space="0" w:color="auto"/>
      </w:divBdr>
    </w:div>
    <w:div w:id="935675904">
      <w:bodyDiv w:val="1"/>
      <w:marLeft w:val="0"/>
      <w:marRight w:val="0"/>
      <w:marTop w:val="0"/>
      <w:marBottom w:val="0"/>
      <w:divBdr>
        <w:top w:val="none" w:sz="0" w:space="0" w:color="auto"/>
        <w:left w:val="none" w:sz="0" w:space="0" w:color="auto"/>
        <w:bottom w:val="none" w:sz="0" w:space="0" w:color="auto"/>
        <w:right w:val="none" w:sz="0" w:space="0" w:color="auto"/>
      </w:divBdr>
    </w:div>
    <w:div w:id="935752338">
      <w:bodyDiv w:val="1"/>
      <w:marLeft w:val="0"/>
      <w:marRight w:val="0"/>
      <w:marTop w:val="0"/>
      <w:marBottom w:val="0"/>
      <w:divBdr>
        <w:top w:val="none" w:sz="0" w:space="0" w:color="auto"/>
        <w:left w:val="none" w:sz="0" w:space="0" w:color="auto"/>
        <w:bottom w:val="none" w:sz="0" w:space="0" w:color="auto"/>
        <w:right w:val="none" w:sz="0" w:space="0" w:color="auto"/>
      </w:divBdr>
    </w:div>
    <w:div w:id="944046118">
      <w:bodyDiv w:val="1"/>
      <w:marLeft w:val="0"/>
      <w:marRight w:val="0"/>
      <w:marTop w:val="0"/>
      <w:marBottom w:val="0"/>
      <w:divBdr>
        <w:top w:val="none" w:sz="0" w:space="0" w:color="auto"/>
        <w:left w:val="none" w:sz="0" w:space="0" w:color="auto"/>
        <w:bottom w:val="none" w:sz="0" w:space="0" w:color="auto"/>
        <w:right w:val="none" w:sz="0" w:space="0" w:color="auto"/>
      </w:divBdr>
    </w:div>
    <w:div w:id="954214611">
      <w:bodyDiv w:val="1"/>
      <w:marLeft w:val="0"/>
      <w:marRight w:val="0"/>
      <w:marTop w:val="0"/>
      <w:marBottom w:val="0"/>
      <w:divBdr>
        <w:top w:val="none" w:sz="0" w:space="0" w:color="auto"/>
        <w:left w:val="none" w:sz="0" w:space="0" w:color="auto"/>
        <w:bottom w:val="none" w:sz="0" w:space="0" w:color="auto"/>
        <w:right w:val="none" w:sz="0" w:space="0" w:color="auto"/>
      </w:divBdr>
    </w:div>
    <w:div w:id="959921149">
      <w:bodyDiv w:val="1"/>
      <w:marLeft w:val="0"/>
      <w:marRight w:val="0"/>
      <w:marTop w:val="0"/>
      <w:marBottom w:val="0"/>
      <w:divBdr>
        <w:top w:val="none" w:sz="0" w:space="0" w:color="auto"/>
        <w:left w:val="none" w:sz="0" w:space="0" w:color="auto"/>
        <w:bottom w:val="none" w:sz="0" w:space="0" w:color="auto"/>
        <w:right w:val="none" w:sz="0" w:space="0" w:color="auto"/>
      </w:divBdr>
    </w:div>
    <w:div w:id="966541962">
      <w:bodyDiv w:val="1"/>
      <w:marLeft w:val="0"/>
      <w:marRight w:val="0"/>
      <w:marTop w:val="0"/>
      <w:marBottom w:val="0"/>
      <w:divBdr>
        <w:top w:val="none" w:sz="0" w:space="0" w:color="auto"/>
        <w:left w:val="none" w:sz="0" w:space="0" w:color="auto"/>
        <w:bottom w:val="none" w:sz="0" w:space="0" w:color="auto"/>
        <w:right w:val="none" w:sz="0" w:space="0" w:color="auto"/>
      </w:divBdr>
    </w:div>
    <w:div w:id="971397500">
      <w:bodyDiv w:val="1"/>
      <w:marLeft w:val="0"/>
      <w:marRight w:val="0"/>
      <w:marTop w:val="0"/>
      <w:marBottom w:val="0"/>
      <w:divBdr>
        <w:top w:val="none" w:sz="0" w:space="0" w:color="auto"/>
        <w:left w:val="none" w:sz="0" w:space="0" w:color="auto"/>
        <w:bottom w:val="none" w:sz="0" w:space="0" w:color="auto"/>
        <w:right w:val="none" w:sz="0" w:space="0" w:color="auto"/>
      </w:divBdr>
    </w:div>
    <w:div w:id="978731950">
      <w:bodyDiv w:val="1"/>
      <w:marLeft w:val="0"/>
      <w:marRight w:val="0"/>
      <w:marTop w:val="0"/>
      <w:marBottom w:val="0"/>
      <w:divBdr>
        <w:top w:val="none" w:sz="0" w:space="0" w:color="auto"/>
        <w:left w:val="none" w:sz="0" w:space="0" w:color="auto"/>
        <w:bottom w:val="none" w:sz="0" w:space="0" w:color="auto"/>
        <w:right w:val="none" w:sz="0" w:space="0" w:color="auto"/>
      </w:divBdr>
    </w:div>
    <w:div w:id="984047316">
      <w:bodyDiv w:val="1"/>
      <w:marLeft w:val="0"/>
      <w:marRight w:val="0"/>
      <w:marTop w:val="0"/>
      <w:marBottom w:val="0"/>
      <w:divBdr>
        <w:top w:val="none" w:sz="0" w:space="0" w:color="auto"/>
        <w:left w:val="none" w:sz="0" w:space="0" w:color="auto"/>
        <w:bottom w:val="none" w:sz="0" w:space="0" w:color="auto"/>
        <w:right w:val="none" w:sz="0" w:space="0" w:color="auto"/>
      </w:divBdr>
    </w:div>
    <w:div w:id="986974559">
      <w:bodyDiv w:val="1"/>
      <w:marLeft w:val="0"/>
      <w:marRight w:val="0"/>
      <w:marTop w:val="0"/>
      <w:marBottom w:val="0"/>
      <w:divBdr>
        <w:top w:val="none" w:sz="0" w:space="0" w:color="auto"/>
        <w:left w:val="none" w:sz="0" w:space="0" w:color="auto"/>
        <w:bottom w:val="none" w:sz="0" w:space="0" w:color="auto"/>
        <w:right w:val="none" w:sz="0" w:space="0" w:color="auto"/>
      </w:divBdr>
    </w:div>
    <w:div w:id="991450382">
      <w:bodyDiv w:val="1"/>
      <w:marLeft w:val="0"/>
      <w:marRight w:val="0"/>
      <w:marTop w:val="0"/>
      <w:marBottom w:val="0"/>
      <w:divBdr>
        <w:top w:val="none" w:sz="0" w:space="0" w:color="auto"/>
        <w:left w:val="none" w:sz="0" w:space="0" w:color="auto"/>
        <w:bottom w:val="none" w:sz="0" w:space="0" w:color="auto"/>
        <w:right w:val="none" w:sz="0" w:space="0" w:color="auto"/>
      </w:divBdr>
    </w:div>
    <w:div w:id="995112058">
      <w:bodyDiv w:val="1"/>
      <w:marLeft w:val="0"/>
      <w:marRight w:val="0"/>
      <w:marTop w:val="0"/>
      <w:marBottom w:val="0"/>
      <w:divBdr>
        <w:top w:val="none" w:sz="0" w:space="0" w:color="auto"/>
        <w:left w:val="none" w:sz="0" w:space="0" w:color="auto"/>
        <w:bottom w:val="none" w:sz="0" w:space="0" w:color="auto"/>
        <w:right w:val="none" w:sz="0" w:space="0" w:color="auto"/>
      </w:divBdr>
    </w:div>
    <w:div w:id="1002125978">
      <w:bodyDiv w:val="1"/>
      <w:marLeft w:val="0"/>
      <w:marRight w:val="0"/>
      <w:marTop w:val="0"/>
      <w:marBottom w:val="0"/>
      <w:divBdr>
        <w:top w:val="none" w:sz="0" w:space="0" w:color="auto"/>
        <w:left w:val="none" w:sz="0" w:space="0" w:color="auto"/>
        <w:bottom w:val="none" w:sz="0" w:space="0" w:color="auto"/>
        <w:right w:val="none" w:sz="0" w:space="0" w:color="auto"/>
      </w:divBdr>
    </w:div>
    <w:div w:id="1006905074">
      <w:bodyDiv w:val="1"/>
      <w:marLeft w:val="0"/>
      <w:marRight w:val="0"/>
      <w:marTop w:val="0"/>
      <w:marBottom w:val="0"/>
      <w:divBdr>
        <w:top w:val="none" w:sz="0" w:space="0" w:color="auto"/>
        <w:left w:val="none" w:sz="0" w:space="0" w:color="auto"/>
        <w:bottom w:val="none" w:sz="0" w:space="0" w:color="auto"/>
        <w:right w:val="none" w:sz="0" w:space="0" w:color="auto"/>
      </w:divBdr>
    </w:div>
    <w:div w:id="1012687700">
      <w:bodyDiv w:val="1"/>
      <w:marLeft w:val="0"/>
      <w:marRight w:val="0"/>
      <w:marTop w:val="0"/>
      <w:marBottom w:val="0"/>
      <w:divBdr>
        <w:top w:val="none" w:sz="0" w:space="0" w:color="auto"/>
        <w:left w:val="none" w:sz="0" w:space="0" w:color="auto"/>
        <w:bottom w:val="none" w:sz="0" w:space="0" w:color="auto"/>
        <w:right w:val="none" w:sz="0" w:space="0" w:color="auto"/>
      </w:divBdr>
    </w:div>
    <w:div w:id="1018698010">
      <w:bodyDiv w:val="1"/>
      <w:marLeft w:val="0"/>
      <w:marRight w:val="0"/>
      <w:marTop w:val="0"/>
      <w:marBottom w:val="0"/>
      <w:divBdr>
        <w:top w:val="none" w:sz="0" w:space="0" w:color="auto"/>
        <w:left w:val="none" w:sz="0" w:space="0" w:color="auto"/>
        <w:bottom w:val="none" w:sz="0" w:space="0" w:color="auto"/>
        <w:right w:val="none" w:sz="0" w:space="0" w:color="auto"/>
      </w:divBdr>
    </w:div>
    <w:div w:id="1028874284">
      <w:bodyDiv w:val="1"/>
      <w:marLeft w:val="0"/>
      <w:marRight w:val="0"/>
      <w:marTop w:val="0"/>
      <w:marBottom w:val="0"/>
      <w:divBdr>
        <w:top w:val="none" w:sz="0" w:space="0" w:color="auto"/>
        <w:left w:val="none" w:sz="0" w:space="0" w:color="auto"/>
        <w:bottom w:val="none" w:sz="0" w:space="0" w:color="auto"/>
        <w:right w:val="none" w:sz="0" w:space="0" w:color="auto"/>
      </w:divBdr>
    </w:div>
    <w:div w:id="1030035706">
      <w:bodyDiv w:val="1"/>
      <w:marLeft w:val="0"/>
      <w:marRight w:val="0"/>
      <w:marTop w:val="0"/>
      <w:marBottom w:val="0"/>
      <w:divBdr>
        <w:top w:val="none" w:sz="0" w:space="0" w:color="auto"/>
        <w:left w:val="none" w:sz="0" w:space="0" w:color="auto"/>
        <w:bottom w:val="none" w:sz="0" w:space="0" w:color="auto"/>
        <w:right w:val="none" w:sz="0" w:space="0" w:color="auto"/>
      </w:divBdr>
    </w:div>
    <w:div w:id="1045907392">
      <w:bodyDiv w:val="1"/>
      <w:marLeft w:val="0"/>
      <w:marRight w:val="0"/>
      <w:marTop w:val="0"/>
      <w:marBottom w:val="0"/>
      <w:divBdr>
        <w:top w:val="none" w:sz="0" w:space="0" w:color="auto"/>
        <w:left w:val="none" w:sz="0" w:space="0" w:color="auto"/>
        <w:bottom w:val="none" w:sz="0" w:space="0" w:color="auto"/>
        <w:right w:val="none" w:sz="0" w:space="0" w:color="auto"/>
      </w:divBdr>
    </w:div>
    <w:div w:id="1047492171">
      <w:bodyDiv w:val="1"/>
      <w:marLeft w:val="0"/>
      <w:marRight w:val="0"/>
      <w:marTop w:val="0"/>
      <w:marBottom w:val="0"/>
      <w:divBdr>
        <w:top w:val="none" w:sz="0" w:space="0" w:color="auto"/>
        <w:left w:val="none" w:sz="0" w:space="0" w:color="auto"/>
        <w:bottom w:val="none" w:sz="0" w:space="0" w:color="auto"/>
        <w:right w:val="none" w:sz="0" w:space="0" w:color="auto"/>
      </w:divBdr>
    </w:div>
    <w:div w:id="1048458388">
      <w:bodyDiv w:val="1"/>
      <w:marLeft w:val="0"/>
      <w:marRight w:val="0"/>
      <w:marTop w:val="0"/>
      <w:marBottom w:val="0"/>
      <w:divBdr>
        <w:top w:val="none" w:sz="0" w:space="0" w:color="auto"/>
        <w:left w:val="none" w:sz="0" w:space="0" w:color="auto"/>
        <w:bottom w:val="none" w:sz="0" w:space="0" w:color="auto"/>
        <w:right w:val="none" w:sz="0" w:space="0" w:color="auto"/>
      </w:divBdr>
    </w:div>
    <w:div w:id="1050611273">
      <w:bodyDiv w:val="1"/>
      <w:marLeft w:val="0"/>
      <w:marRight w:val="0"/>
      <w:marTop w:val="0"/>
      <w:marBottom w:val="0"/>
      <w:divBdr>
        <w:top w:val="none" w:sz="0" w:space="0" w:color="auto"/>
        <w:left w:val="none" w:sz="0" w:space="0" w:color="auto"/>
        <w:bottom w:val="none" w:sz="0" w:space="0" w:color="auto"/>
        <w:right w:val="none" w:sz="0" w:space="0" w:color="auto"/>
      </w:divBdr>
    </w:div>
    <w:div w:id="1057318039">
      <w:bodyDiv w:val="1"/>
      <w:marLeft w:val="0"/>
      <w:marRight w:val="0"/>
      <w:marTop w:val="0"/>
      <w:marBottom w:val="0"/>
      <w:divBdr>
        <w:top w:val="none" w:sz="0" w:space="0" w:color="auto"/>
        <w:left w:val="none" w:sz="0" w:space="0" w:color="auto"/>
        <w:bottom w:val="none" w:sz="0" w:space="0" w:color="auto"/>
        <w:right w:val="none" w:sz="0" w:space="0" w:color="auto"/>
      </w:divBdr>
    </w:div>
    <w:div w:id="1063600889">
      <w:bodyDiv w:val="1"/>
      <w:marLeft w:val="0"/>
      <w:marRight w:val="0"/>
      <w:marTop w:val="0"/>
      <w:marBottom w:val="0"/>
      <w:divBdr>
        <w:top w:val="none" w:sz="0" w:space="0" w:color="auto"/>
        <w:left w:val="none" w:sz="0" w:space="0" w:color="auto"/>
        <w:bottom w:val="none" w:sz="0" w:space="0" w:color="auto"/>
        <w:right w:val="none" w:sz="0" w:space="0" w:color="auto"/>
      </w:divBdr>
    </w:div>
    <w:div w:id="1069767072">
      <w:bodyDiv w:val="1"/>
      <w:marLeft w:val="0"/>
      <w:marRight w:val="0"/>
      <w:marTop w:val="0"/>
      <w:marBottom w:val="0"/>
      <w:divBdr>
        <w:top w:val="none" w:sz="0" w:space="0" w:color="auto"/>
        <w:left w:val="none" w:sz="0" w:space="0" w:color="auto"/>
        <w:bottom w:val="none" w:sz="0" w:space="0" w:color="auto"/>
        <w:right w:val="none" w:sz="0" w:space="0" w:color="auto"/>
      </w:divBdr>
    </w:div>
    <w:div w:id="1073086647">
      <w:bodyDiv w:val="1"/>
      <w:marLeft w:val="0"/>
      <w:marRight w:val="0"/>
      <w:marTop w:val="0"/>
      <w:marBottom w:val="0"/>
      <w:divBdr>
        <w:top w:val="none" w:sz="0" w:space="0" w:color="auto"/>
        <w:left w:val="none" w:sz="0" w:space="0" w:color="auto"/>
        <w:bottom w:val="none" w:sz="0" w:space="0" w:color="auto"/>
        <w:right w:val="none" w:sz="0" w:space="0" w:color="auto"/>
      </w:divBdr>
    </w:div>
    <w:div w:id="1084842498">
      <w:bodyDiv w:val="1"/>
      <w:marLeft w:val="0"/>
      <w:marRight w:val="0"/>
      <w:marTop w:val="0"/>
      <w:marBottom w:val="0"/>
      <w:divBdr>
        <w:top w:val="none" w:sz="0" w:space="0" w:color="auto"/>
        <w:left w:val="none" w:sz="0" w:space="0" w:color="auto"/>
        <w:bottom w:val="none" w:sz="0" w:space="0" w:color="auto"/>
        <w:right w:val="none" w:sz="0" w:space="0" w:color="auto"/>
      </w:divBdr>
    </w:div>
    <w:div w:id="1092624567">
      <w:bodyDiv w:val="1"/>
      <w:marLeft w:val="0"/>
      <w:marRight w:val="0"/>
      <w:marTop w:val="0"/>
      <w:marBottom w:val="0"/>
      <w:divBdr>
        <w:top w:val="none" w:sz="0" w:space="0" w:color="auto"/>
        <w:left w:val="none" w:sz="0" w:space="0" w:color="auto"/>
        <w:bottom w:val="none" w:sz="0" w:space="0" w:color="auto"/>
        <w:right w:val="none" w:sz="0" w:space="0" w:color="auto"/>
      </w:divBdr>
    </w:div>
    <w:div w:id="1093550790">
      <w:bodyDiv w:val="1"/>
      <w:marLeft w:val="0"/>
      <w:marRight w:val="0"/>
      <w:marTop w:val="0"/>
      <w:marBottom w:val="0"/>
      <w:divBdr>
        <w:top w:val="none" w:sz="0" w:space="0" w:color="auto"/>
        <w:left w:val="none" w:sz="0" w:space="0" w:color="auto"/>
        <w:bottom w:val="none" w:sz="0" w:space="0" w:color="auto"/>
        <w:right w:val="none" w:sz="0" w:space="0" w:color="auto"/>
      </w:divBdr>
    </w:div>
    <w:div w:id="1096905438">
      <w:bodyDiv w:val="1"/>
      <w:marLeft w:val="0"/>
      <w:marRight w:val="0"/>
      <w:marTop w:val="0"/>
      <w:marBottom w:val="0"/>
      <w:divBdr>
        <w:top w:val="none" w:sz="0" w:space="0" w:color="auto"/>
        <w:left w:val="none" w:sz="0" w:space="0" w:color="auto"/>
        <w:bottom w:val="none" w:sz="0" w:space="0" w:color="auto"/>
        <w:right w:val="none" w:sz="0" w:space="0" w:color="auto"/>
      </w:divBdr>
    </w:div>
    <w:div w:id="1098794282">
      <w:bodyDiv w:val="1"/>
      <w:marLeft w:val="0"/>
      <w:marRight w:val="0"/>
      <w:marTop w:val="0"/>
      <w:marBottom w:val="0"/>
      <w:divBdr>
        <w:top w:val="none" w:sz="0" w:space="0" w:color="auto"/>
        <w:left w:val="none" w:sz="0" w:space="0" w:color="auto"/>
        <w:bottom w:val="none" w:sz="0" w:space="0" w:color="auto"/>
        <w:right w:val="none" w:sz="0" w:space="0" w:color="auto"/>
      </w:divBdr>
    </w:div>
    <w:div w:id="1099913525">
      <w:bodyDiv w:val="1"/>
      <w:marLeft w:val="0"/>
      <w:marRight w:val="0"/>
      <w:marTop w:val="0"/>
      <w:marBottom w:val="0"/>
      <w:divBdr>
        <w:top w:val="none" w:sz="0" w:space="0" w:color="auto"/>
        <w:left w:val="none" w:sz="0" w:space="0" w:color="auto"/>
        <w:bottom w:val="none" w:sz="0" w:space="0" w:color="auto"/>
        <w:right w:val="none" w:sz="0" w:space="0" w:color="auto"/>
      </w:divBdr>
    </w:div>
    <w:div w:id="1117793690">
      <w:bodyDiv w:val="1"/>
      <w:marLeft w:val="0"/>
      <w:marRight w:val="0"/>
      <w:marTop w:val="0"/>
      <w:marBottom w:val="0"/>
      <w:divBdr>
        <w:top w:val="none" w:sz="0" w:space="0" w:color="auto"/>
        <w:left w:val="none" w:sz="0" w:space="0" w:color="auto"/>
        <w:bottom w:val="none" w:sz="0" w:space="0" w:color="auto"/>
        <w:right w:val="none" w:sz="0" w:space="0" w:color="auto"/>
      </w:divBdr>
    </w:div>
    <w:div w:id="1123814976">
      <w:bodyDiv w:val="1"/>
      <w:marLeft w:val="0"/>
      <w:marRight w:val="0"/>
      <w:marTop w:val="0"/>
      <w:marBottom w:val="0"/>
      <w:divBdr>
        <w:top w:val="none" w:sz="0" w:space="0" w:color="auto"/>
        <w:left w:val="none" w:sz="0" w:space="0" w:color="auto"/>
        <w:bottom w:val="none" w:sz="0" w:space="0" w:color="auto"/>
        <w:right w:val="none" w:sz="0" w:space="0" w:color="auto"/>
      </w:divBdr>
    </w:div>
    <w:div w:id="1125385997">
      <w:bodyDiv w:val="1"/>
      <w:marLeft w:val="0"/>
      <w:marRight w:val="0"/>
      <w:marTop w:val="0"/>
      <w:marBottom w:val="0"/>
      <w:divBdr>
        <w:top w:val="none" w:sz="0" w:space="0" w:color="auto"/>
        <w:left w:val="none" w:sz="0" w:space="0" w:color="auto"/>
        <w:bottom w:val="none" w:sz="0" w:space="0" w:color="auto"/>
        <w:right w:val="none" w:sz="0" w:space="0" w:color="auto"/>
      </w:divBdr>
    </w:div>
    <w:div w:id="1129937984">
      <w:bodyDiv w:val="1"/>
      <w:marLeft w:val="0"/>
      <w:marRight w:val="0"/>
      <w:marTop w:val="0"/>
      <w:marBottom w:val="0"/>
      <w:divBdr>
        <w:top w:val="none" w:sz="0" w:space="0" w:color="auto"/>
        <w:left w:val="none" w:sz="0" w:space="0" w:color="auto"/>
        <w:bottom w:val="none" w:sz="0" w:space="0" w:color="auto"/>
        <w:right w:val="none" w:sz="0" w:space="0" w:color="auto"/>
      </w:divBdr>
    </w:div>
    <w:div w:id="1133909727">
      <w:bodyDiv w:val="1"/>
      <w:marLeft w:val="0"/>
      <w:marRight w:val="0"/>
      <w:marTop w:val="0"/>
      <w:marBottom w:val="0"/>
      <w:divBdr>
        <w:top w:val="none" w:sz="0" w:space="0" w:color="auto"/>
        <w:left w:val="none" w:sz="0" w:space="0" w:color="auto"/>
        <w:bottom w:val="none" w:sz="0" w:space="0" w:color="auto"/>
        <w:right w:val="none" w:sz="0" w:space="0" w:color="auto"/>
      </w:divBdr>
    </w:div>
    <w:div w:id="1137796741">
      <w:bodyDiv w:val="1"/>
      <w:marLeft w:val="0"/>
      <w:marRight w:val="0"/>
      <w:marTop w:val="0"/>
      <w:marBottom w:val="0"/>
      <w:divBdr>
        <w:top w:val="none" w:sz="0" w:space="0" w:color="auto"/>
        <w:left w:val="none" w:sz="0" w:space="0" w:color="auto"/>
        <w:bottom w:val="none" w:sz="0" w:space="0" w:color="auto"/>
        <w:right w:val="none" w:sz="0" w:space="0" w:color="auto"/>
      </w:divBdr>
    </w:div>
    <w:div w:id="1141531630">
      <w:bodyDiv w:val="1"/>
      <w:marLeft w:val="0"/>
      <w:marRight w:val="0"/>
      <w:marTop w:val="0"/>
      <w:marBottom w:val="0"/>
      <w:divBdr>
        <w:top w:val="none" w:sz="0" w:space="0" w:color="auto"/>
        <w:left w:val="none" w:sz="0" w:space="0" w:color="auto"/>
        <w:bottom w:val="none" w:sz="0" w:space="0" w:color="auto"/>
        <w:right w:val="none" w:sz="0" w:space="0" w:color="auto"/>
      </w:divBdr>
    </w:div>
    <w:div w:id="1141920641">
      <w:bodyDiv w:val="1"/>
      <w:marLeft w:val="0"/>
      <w:marRight w:val="0"/>
      <w:marTop w:val="0"/>
      <w:marBottom w:val="0"/>
      <w:divBdr>
        <w:top w:val="none" w:sz="0" w:space="0" w:color="auto"/>
        <w:left w:val="none" w:sz="0" w:space="0" w:color="auto"/>
        <w:bottom w:val="none" w:sz="0" w:space="0" w:color="auto"/>
        <w:right w:val="none" w:sz="0" w:space="0" w:color="auto"/>
      </w:divBdr>
    </w:div>
    <w:div w:id="1172716750">
      <w:bodyDiv w:val="1"/>
      <w:marLeft w:val="0"/>
      <w:marRight w:val="0"/>
      <w:marTop w:val="0"/>
      <w:marBottom w:val="0"/>
      <w:divBdr>
        <w:top w:val="none" w:sz="0" w:space="0" w:color="auto"/>
        <w:left w:val="none" w:sz="0" w:space="0" w:color="auto"/>
        <w:bottom w:val="none" w:sz="0" w:space="0" w:color="auto"/>
        <w:right w:val="none" w:sz="0" w:space="0" w:color="auto"/>
      </w:divBdr>
    </w:div>
    <w:div w:id="1174031514">
      <w:bodyDiv w:val="1"/>
      <w:marLeft w:val="0"/>
      <w:marRight w:val="0"/>
      <w:marTop w:val="0"/>
      <w:marBottom w:val="0"/>
      <w:divBdr>
        <w:top w:val="none" w:sz="0" w:space="0" w:color="auto"/>
        <w:left w:val="none" w:sz="0" w:space="0" w:color="auto"/>
        <w:bottom w:val="none" w:sz="0" w:space="0" w:color="auto"/>
        <w:right w:val="none" w:sz="0" w:space="0" w:color="auto"/>
      </w:divBdr>
    </w:div>
    <w:div w:id="1182401150">
      <w:bodyDiv w:val="1"/>
      <w:marLeft w:val="0"/>
      <w:marRight w:val="0"/>
      <w:marTop w:val="0"/>
      <w:marBottom w:val="0"/>
      <w:divBdr>
        <w:top w:val="none" w:sz="0" w:space="0" w:color="auto"/>
        <w:left w:val="none" w:sz="0" w:space="0" w:color="auto"/>
        <w:bottom w:val="none" w:sz="0" w:space="0" w:color="auto"/>
        <w:right w:val="none" w:sz="0" w:space="0" w:color="auto"/>
      </w:divBdr>
    </w:div>
    <w:div w:id="1199926609">
      <w:bodyDiv w:val="1"/>
      <w:marLeft w:val="0"/>
      <w:marRight w:val="0"/>
      <w:marTop w:val="0"/>
      <w:marBottom w:val="0"/>
      <w:divBdr>
        <w:top w:val="none" w:sz="0" w:space="0" w:color="auto"/>
        <w:left w:val="none" w:sz="0" w:space="0" w:color="auto"/>
        <w:bottom w:val="none" w:sz="0" w:space="0" w:color="auto"/>
        <w:right w:val="none" w:sz="0" w:space="0" w:color="auto"/>
      </w:divBdr>
    </w:div>
    <w:div w:id="1207983941">
      <w:bodyDiv w:val="1"/>
      <w:marLeft w:val="0"/>
      <w:marRight w:val="0"/>
      <w:marTop w:val="0"/>
      <w:marBottom w:val="0"/>
      <w:divBdr>
        <w:top w:val="none" w:sz="0" w:space="0" w:color="auto"/>
        <w:left w:val="none" w:sz="0" w:space="0" w:color="auto"/>
        <w:bottom w:val="none" w:sz="0" w:space="0" w:color="auto"/>
        <w:right w:val="none" w:sz="0" w:space="0" w:color="auto"/>
      </w:divBdr>
    </w:div>
    <w:div w:id="1209800296">
      <w:bodyDiv w:val="1"/>
      <w:marLeft w:val="0"/>
      <w:marRight w:val="0"/>
      <w:marTop w:val="0"/>
      <w:marBottom w:val="0"/>
      <w:divBdr>
        <w:top w:val="none" w:sz="0" w:space="0" w:color="auto"/>
        <w:left w:val="none" w:sz="0" w:space="0" w:color="auto"/>
        <w:bottom w:val="none" w:sz="0" w:space="0" w:color="auto"/>
        <w:right w:val="none" w:sz="0" w:space="0" w:color="auto"/>
      </w:divBdr>
    </w:div>
    <w:div w:id="1211384677">
      <w:bodyDiv w:val="1"/>
      <w:marLeft w:val="0"/>
      <w:marRight w:val="0"/>
      <w:marTop w:val="0"/>
      <w:marBottom w:val="0"/>
      <w:divBdr>
        <w:top w:val="none" w:sz="0" w:space="0" w:color="auto"/>
        <w:left w:val="none" w:sz="0" w:space="0" w:color="auto"/>
        <w:bottom w:val="none" w:sz="0" w:space="0" w:color="auto"/>
        <w:right w:val="none" w:sz="0" w:space="0" w:color="auto"/>
      </w:divBdr>
    </w:div>
    <w:div w:id="1211453574">
      <w:bodyDiv w:val="1"/>
      <w:marLeft w:val="0"/>
      <w:marRight w:val="0"/>
      <w:marTop w:val="0"/>
      <w:marBottom w:val="0"/>
      <w:divBdr>
        <w:top w:val="none" w:sz="0" w:space="0" w:color="auto"/>
        <w:left w:val="none" w:sz="0" w:space="0" w:color="auto"/>
        <w:bottom w:val="none" w:sz="0" w:space="0" w:color="auto"/>
        <w:right w:val="none" w:sz="0" w:space="0" w:color="auto"/>
      </w:divBdr>
    </w:div>
    <w:div w:id="1220743780">
      <w:bodyDiv w:val="1"/>
      <w:marLeft w:val="0"/>
      <w:marRight w:val="0"/>
      <w:marTop w:val="0"/>
      <w:marBottom w:val="0"/>
      <w:divBdr>
        <w:top w:val="none" w:sz="0" w:space="0" w:color="auto"/>
        <w:left w:val="none" w:sz="0" w:space="0" w:color="auto"/>
        <w:bottom w:val="none" w:sz="0" w:space="0" w:color="auto"/>
        <w:right w:val="none" w:sz="0" w:space="0" w:color="auto"/>
      </w:divBdr>
    </w:div>
    <w:div w:id="1227031862">
      <w:bodyDiv w:val="1"/>
      <w:marLeft w:val="0"/>
      <w:marRight w:val="0"/>
      <w:marTop w:val="0"/>
      <w:marBottom w:val="0"/>
      <w:divBdr>
        <w:top w:val="none" w:sz="0" w:space="0" w:color="auto"/>
        <w:left w:val="none" w:sz="0" w:space="0" w:color="auto"/>
        <w:bottom w:val="none" w:sz="0" w:space="0" w:color="auto"/>
        <w:right w:val="none" w:sz="0" w:space="0" w:color="auto"/>
      </w:divBdr>
    </w:div>
    <w:div w:id="1241135829">
      <w:bodyDiv w:val="1"/>
      <w:marLeft w:val="0"/>
      <w:marRight w:val="0"/>
      <w:marTop w:val="0"/>
      <w:marBottom w:val="0"/>
      <w:divBdr>
        <w:top w:val="none" w:sz="0" w:space="0" w:color="auto"/>
        <w:left w:val="none" w:sz="0" w:space="0" w:color="auto"/>
        <w:bottom w:val="none" w:sz="0" w:space="0" w:color="auto"/>
        <w:right w:val="none" w:sz="0" w:space="0" w:color="auto"/>
      </w:divBdr>
    </w:div>
    <w:div w:id="1252927344">
      <w:bodyDiv w:val="1"/>
      <w:marLeft w:val="0"/>
      <w:marRight w:val="0"/>
      <w:marTop w:val="0"/>
      <w:marBottom w:val="0"/>
      <w:divBdr>
        <w:top w:val="none" w:sz="0" w:space="0" w:color="auto"/>
        <w:left w:val="none" w:sz="0" w:space="0" w:color="auto"/>
        <w:bottom w:val="none" w:sz="0" w:space="0" w:color="auto"/>
        <w:right w:val="none" w:sz="0" w:space="0" w:color="auto"/>
      </w:divBdr>
    </w:div>
    <w:div w:id="1253195914">
      <w:bodyDiv w:val="1"/>
      <w:marLeft w:val="0"/>
      <w:marRight w:val="0"/>
      <w:marTop w:val="0"/>
      <w:marBottom w:val="0"/>
      <w:divBdr>
        <w:top w:val="none" w:sz="0" w:space="0" w:color="auto"/>
        <w:left w:val="none" w:sz="0" w:space="0" w:color="auto"/>
        <w:bottom w:val="none" w:sz="0" w:space="0" w:color="auto"/>
        <w:right w:val="none" w:sz="0" w:space="0" w:color="auto"/>
      </w:divBdr>
    </w:div>
    <w:div w:id="1260606463">
      <w:bodyDiv w:val="1"/>
      <w:marLeft w:val="0"/>
      <w:marRight w:val="0"/>
      <w:marTop w:val="0"/>
      <w:marBottom w:val="0"/>
      <w:divBdr>
        <w:top w:val="none" w:sz="0" w:space="0" w:color="auto"/>
        <w:left w:val="none" w:sz="0" w:space="0" w:color="auto"/>
        <w:bottom w:val="none" w:sz="0" w:space="0" w:color="auto"/>
        <w:right w:val="none" w:sz="0" w:space="0" w:color="auto"/>
      </w:divBdr>
    </w:div>
    <w:div w:id="1260875448">
      <w:bodyDiv w:val="1"/>
      <w:marLeft w:val="0"/>
      <w:marRight w:val="0"/>
      <w:marTop w:val="0"/>
      <w:marBottom w:val="0"/>
      <w:divBdr>
        <w:top w:val="none" w:sz="0" w:space="0" w:color="auto"/>
        <w:left w:val="none" w:sz="0" w:space="0" w:color="auto"/>
        <w:bottom w:val="none" w:sz="0" w:space="0" w:color="auto"/>
        <w:right w:val="none" w:sz="0" w:space="0" w:color="auto"/>
      </w:divBdr>
    </w:div>
    <w:div w:id="1274482835">
      <w:bodyDiv w:val="1"/>
      <w:marLeft w:val="0"/>
      <w:marRight w:val="0"/>
      <w:marTop w:val="0"/>
      <w:marBottom w:val="0"/>
      <w:divBdr>
        <w:top w:val="none" w:sz="0" w:space="0" w:color="auto"/>
        <w:left w:val="none" w:sz="0" w:space="0" w:color="auto"/>
        <w:bottom w:val="none" w:sz="0" w:space="0" w:color="auto"/>
        <w:right w:val="none" w:sz="0" w:space="0" w:color="auto"/>
      </w:divBdr>
    </w:div>
    <w:div w:id="1275594668">
      <w:bodyDiv w:val="1"/>
      <w:marLeft w:val="0"/>
      <w:marRight w:val="0"/>
      <w:marTop w:val="0"/>
      <w:marBottom w:val="0"/>
      <w:divBdr>
        <w:top w:val="none" w:sz="0" w:space="0" w:color="auto"/>
        <w:left w:val="none" w:sz="0" w:space="0" w:color="auto"/>
        <w:bottom w:val="none" w:sz="0" w:space="0" w:color="auto"/>
        <w:right w:val="none" w:sz="0" w:space="0" w:color="auto"/>
      </w:divBdr>
    </w:div>
    <w:div w:id="1288395727">
      <w:bodyDiv w:val="1"/>
      <w:marLeft w:val="0"/>
      <w:marRight w:val="0"/>
      <w:marTop w:val="0"/>
      <w:marBottom w:val="0"/>
      <w:divBdr>
        <w:top w:val="none" w:sz="0" w:space="0" w:color="auto"/>
        <w:left w:val="none" w:sz="0" w:space="0" w:color="auto"/>
        <w:bottom w:val="none" w:sz="0" w:space="0" w:color="auto"/>
        <w:right w:val="none" w:sz="0" w:space="0" w:color="auto"/>
      </w:divBdr>
    </w:div>
    <w:div w:id="1293637053">
      <w:bodyDiv w:val="1"/>
      <w:marLeft w:val="0"/>
      <w:marRight w:val="0"/>
      <w:marTop w:val="0"/>
      <w:marBottom w:val="0"/>
      <w:divBdr>
        <w:top w:val="none" w:sz="0" w:space="0" w:color="auto"/>
        <w:left w:val="none" w:sz="0" w:space="0" w:color="auto"/>
        <w:bottom w:val="none" w:sz="0" w:space="0" w:color="auto"/>
        <w:right w:val="none" w:sz="0" w:space="0" w:color="auto"/>
      </w:divBdr>
    </w:div>
    <w:div w:id="1294944748">
      <w:bodyDiv w:val="1"/>
      <w:marLeft w:val="0"/>
      <w:marRight w:val="0"/>
      <w:marTop w:val="0"/>
      <w:marBottom w:val="0"/>
      <w:divBdr>
        <w:top w:val="none" w:sz="0" w:space="0" w:color="auto"/>
        <w:left w:val="none" w:sz="0" w:space="0" w:color="auto"/>
        <w:bottom w:val="none" w:sz="0" w:space="0" w:color="auto"/>
        <w:right w:val="none" w:sz="0" w:space="0" w:color="auto"/>
      </w:divBdr>
    </w:div>
    <w:div w:id="1320386159">
      <w:bodyDiv w:val="1"/>
      <w:marLeft w:val="0"/>
      <w:marRight w:val="0"/>
      <w:marTop w:val="0"/>
      <w:marBottom w:val="0"/>
      <w:divBdr>
        <w:top w:val="none" w:sz="0" w:space="0" w:color="auto"/>
        <w:left w:val="none" w:sz="0" w:space="0" w:color="auto"/>
        <w:bottom w:val="none" w:sz="0" w:space="0" w:color="auto"/>
        <w:right w:val="none" w:sz="0" w:space="0" w:color="auto"/>
      </w:divBdr>
    </w:div>
    <w:div w:id="1323581389">
      <w:bodyDiv w:val="1"/>
      <w:marLeft w:val="0"/>
      <w:marRight w:val="0"/>
      <w:marTop w:val="0"/>
      <w:marBottom w:val="0"/>
      <w:divBdr>
        <w:top w:val="none" w:sz="0" w:space="0" w:color="auto"/>
        <w:left w:val="none" w:sz="0" w:space="0" w:color="auto"/>
        <w:bottom w:val="none" w:sz="0" w:space="0" w:color="auto"/>
        <w:right w:val="none" w:sz="0" w:space="0" w:color="auto"/>
      </w:divBdr>
    </w:div>
    <w:div w:id="1324120790">
      <w:bodyDiv w:val="1"/>
      <w:marLeft w:val="0"/>
      <w:marRight w:val="0"/>
      <w:marTop w:val="0"/>
      <w:marBottom w:val="0"/>
      <w:divBdr>
        <w:top w:val="none" w:sz="0" w:space="0" w:color="auto"/>
        <w:left w:val="none" w:sz="0" w:space="0" w:color="auto"/>
        <w:bottom w:val="none" w:sz="0" w:space="0" w:color="auto"/>
        <w:right w:val="none" w:sz="0" w:space="0" w:color="auto"/>
      </w:divBdr>
    </w:div>
    <w:div w:id="1325013547">
      <w:bodyDiv w:val="1"/>
      <w:marLeft w:val="0"/>
      <w:marRight w:val="0"/>
      <w:marTop w:val="0"/>
      <w:marBottom w:val="0"/>
      <w:divBdr>
        <w:top w:val="none" w:sz="0" w:space="0" w:color="auto"/>
        <w:left w:val="none" w:sz="0" w:space="0" w:color="auto"/>
        <w:bottom w:val="none" w:sz="0" w:space="0" w:color="auto"/>
        <w:right w:val="none" w:sz="0" w:space="0" w:color="auto"/>
      </w:divBdr>
    </w:div>
    <w:div w:id="1327055926">
      <w:bodyDiv w:val="1"/>
      <w:marLeft w:val="0"/>
      <w:marRight w:val="0"/>
      <w:marTop w:val="0"/>
      <w:marBottom w:val="0"/>
      <w:divBdr>
        <w:top w:val="none" w:sz="0" w:space="0" w:color="auto"/>
        <w:left w:val="none" w:sz="0" w:space="0" w:color="auto"/>
        <w:bottom w:val="none" w:sz="0" w:space="0" w:color="auto"/>
        <w:right w:val="none" w:sz="0" w:space="0" w:color="auto"/>
      </w:divBdr>
    </w:div>
    <w:div w:id="1328749066">
      <w:bodyDiv w:val="1"/>
      <w:marLeft w:val="0"/>
      <w:marRight w:val="0"/>
      <w:marTop w:val="0"/>
      <w:marBottom w:val="0"/>
      <w:divBdr>
        <w:top w:val="none" w:sz="0" w:space="0" w:color="auto"/>
        <w:left w:val="none" w:sz="0" w:space="0" w:color="auto"/>
        <w:bottom w:val="none" w:sz="0" w:space="0" w:color="auto"/>
        <w:right w:val="none" w:sz="0" w:space="0" w:color="auto"/>
      </w:divBdr>
    </w:div>
    <w:div w:id="1329287163">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44629367">
      <w:bodyDiv w:val="1"/>
      <w:marLeft w:val="0"/>
      <w:marRight w:val="0"/>
      <w:marTop w:val="0"/>
      <w:marBottom w:val="0"/>
      <w:divBdr>
        <w:top w:val="none" w:sz="0" w:space="0" w:color="auto"/>
        <w:left w:val="none" w:sz="0" w:space="0" w:color="auto"/>
        <w:bottom w:val="none" w:sz="0" w:space="0" w:color="auto"/>
        <w:right w:val="none" w:sz="0" w:space="0" w:color="auto"/>
      </w:divBdr>
    </w:div>
    <w:div w:id="1348750899">
      <w:bodyDiv w:val="1"/>
      <w:marLeft w:val="0"/>
      <w:marRight w:val="0"/>
      <w:marTop w:val="0"/>
      <w:marBottom w:val="0"/>
      <w:divBdr>
        <w:top w:val="none" w:sz="0" w:space="0" w:color="auto"/>
        <w:left w:val="none" w:sz="0" w:space="0" w:color="auto"/>
        <w:bottom w:val="none" w:sz="0" w:space="0" w:color="auto"/>
        <w:right w:val="none" w:sz="0" w:space="0" w:color="auto"/>
      </w:divBdr>
    </w:div>
    <w:div w:id="1359969001">
      <w:bodyDiv w:val="1"/>
      <w:marLeft w:val="0"/>
      <w:marRight w:val="0"/>
      <w:marTop w:val="0"/>
      <w:marBottom w:val="0"/>
      <w:divBdr>
        <w:top w:val="none" w:sz="0" w:space="0" w:color="auto"/>
        <w:left w:val="none" w:sz="0" w:space="0" w:color="auto"/>
        <w:bottom w:val="none" w:sz="0" w:space="0" w:color="auto"/>
        <w:right w:val="none" w:sz="0" w:space="0" w:color="auto"/>
      </w:divBdr>
    </w:div>
    <w:div w:id="1360202544">
      <w:bodyDiv w:val="1"/>
      <w:marLeft w:val="0"/>
      <w:marRight w:val="0"/>
      <w:marTop w:val="0"/>
      <w:marBottom w:val="0"/>
      <w:divBdr>
        <w:top w:val="none" w:sz="0" w:space="0" w:color="auto"/>
        <w:left w:val="none" w:sz="0" w:space="0" w:color="auto"/>
        <w:bottom w:val="none" w:sz="0" w:space="0" w:color="auto"/>
        <w:right w:val="none" w:sz="0" w:space="0" w:color="auto"/>
      </w:divBdr>
    </w:div>
    <w:div w:id="1364093687">
      <w:bodyDiv w:val="1"/>
      <w:marLeft w:val="0"/>
      <w:marRight w:val="0"/>
      <w:marTop w:val="0"/>
      <w:marBottom w:val="0"/>
      <w:divBdr>
        <w:top w:val="none" w:sz="0" w:space="0" w:color="auto"/>
        <w:left w:val="none" w:sz="0" w:space="0" w:color="auto"/>
        <w:bottom w:val="none" w:sz="0" w:space="0" w:color="auto"/>
        <w:right w:val="none" w:sz="0" w:space="0" w:color="auto"/>
      </w:divBdr>
    </w:div>
    <w:div w:id="1367178276">
      <w:bodyDiv w:val="1"/>
      <w:marLeft w:val="0"/>
      <w:marRight w:val="0"/>
      <w:marTop w:val="0"/>
      <w:marBottom w:val="0"/>
      <w:divBdr>
        <w:top w:val="none" w:sz="0" w:space="0" w:color="auto"/>
        <w:left w:val="none" w:sz="0" w:space="0" w:color="auto"/>
        <w:bottom w:val="none" w:sz="0" w:space="0" w:color="auto"/>
        <w:right w:val="none" w:sz="0" w:space="0" w:color="auto"/>
      </w:divBdr>
    </w:div>
    <w:div w:id="1368600383">
      <w:bodyDiv w:val="1"/>
      <w:marLeft w:val="0"/>
      <w:marRight w:val="0"/>
      <w:marTop w:val="0"/>
      <w:marBottom w:val="0"/>
      <w:divBdr>
        <w:top w:val="none" w:sz="0" w:space="0" w:color="auto"/>
        <w:left w:val="none" w:sz="0" w:space="0" w:color="auto"/>
        <w:bottom w:val="none" w:sz="0" w:space="0" w:color="auto"/>
        <w:right w:val="none" w:sz="0" w:space="0" w:color="auto"/>
      </w:divBdr>
    </w:div>
    <w:div w:id="1371493135">
      <w:bodyDiv w:val="1"/>
      <w:marLeft w:val="0"/>
      <w:marRight w:val="0"/>
      <w:marTop w:val="0"/>
      <w:marBottom w:val="0"/>
      <w:divBdr>
        <w:top w:val="none" w:sz="0" w:space="0" w:color="auto"/>
        <w:left w:val="none" w:sz="0" w:space="0" w:color="auto"/>
        <w:bottom w:val="none" w:sz="0" w:space="0" w:color="auto"/>
        <w:right w:val="none" w:sz="0" w:space="0" w:color="auto"/>
      </w:divBdr>
    </w:div>
    <w:div w:id="1380476445">
      <w:bodyDiv w:val="1"/>
      <w:marLeft w:val="0"/>
      <w:marRight w:val="0"/>
      <w:marTop w:val="0"/>
      <w:marBottom w:val="0"/>
      <w:divBdr>
        <w:top w:val="none" w:sz="0" w:space="0" w:color="auto"/>
        <w:left w:val="none" w:sz="0" w:space="0" w:color="auto"/>
        <w:bottom w:val="none" w:sz="0" w:space="0" w:color="auto"/>
        <w:right w:val="none" w:sz="0" w:space="0" w:color="auto"/>
      </w:divBdr>
    </w:div>
    <w:div w:id="1390151882">
      <w:bodyDiv w:val="1"/>
      <w:marLeft w:val="0"/>
      <w:marRight w:val="0"/>
      <w:marTop w:val="0"/>
      <w:marBottom w:val="0"/>
      <w:divBdr>
        <w:top w:val="none" w:sz="0" w:space="0" w:color="auto"/>
        <w:left w:val="none" w:sz="0" w:space="0" w:color="auto"/>
        <w:bottom w:val="none" w:sz="0" w:space="0" w:color="auto"/>
        <w:right w:val="none" w:sz="0" w:space="0" w:color="auto"/>
      </w:divBdr>
    </w:div>
    <w:div w:id="1393385166">
      <w:bodyDiv w:val="1"/>
      <w:marLeft w:val="0"/>
      <w:marRight w:val="0"/>
      <w:marTop w:val="0"/>
      <w:marBottom w:val="0"/>
      <w:divBdr>
        <w:top w:val="none" w:sz="0" w:space="0" w:color="auto"/>
        <w:left w:val="none" w:sz="0" w:space="0" w:color="auto"/>
        <w:bottom w:val="none" w:sz="0" w:space="0" w:color="auto"/>
        <w:right w:val="none" w:sz="0" w:space="0" w:color="auto"/>
      </w:divBdr>
    </w:div>
    <w:div w:id="1393776542">
      <w:bodyDiv w:val="1"/>
      <w:marLeft w:val="0"/>
      <w:marRight w:val="0"/>
      <w:marTop w:val="0"/>
      <w:marBottom w:val="0"/>
      <w:divBdr>
        <w:top w:val="none" w:sz="0" w:space="0" w:color="auto"/>
        <w:left w:val="none" w:sz="0" w:space="0" w:color="auto"/>
        <w:bottom w:val="none" w:sz="0" w:space="0" w:color="auto"/>
        <w:right w:val="none" w:sz="0" w:space="0" w:color="auto"/>
      </w:divBdr>
    </w:div>
    <w:div w:id="1397974198">
      <w:bodyDiv w:val="1"/>
      <w:marLeft w:val="0"/>
      <w:marRight w:val="0"/>
      <w:marTop w:val="0"/>
      <w:marBottom w:val="0"/>
      <w:divBdr>
        <w:top w:val="none" w:sz="0" w:space="0" w:color="auto"/>
        <w:left w:val="none" w:sz="0" w:space="0" w:color="auto"/>
        <w:bottom w:val="none" w:sz="0" w:space="0" w:color="auto"/>
        <w:right w:val="none" w:sz="0" w:space="0" w:color="auto"/>
      </w:divBdr>
    </w:div>
    <w:div w:id="1400128176">
      <w:bodyDiv w:val="1"/>
      <w:marLeft w:val="0"/>
      <w:marRight w:val="0"/>
      <w:marTop w:val="0"/>
      <w:marBottom w:val="0"/>
      <w:divBdr>
        <w:top w:val="none" w:sz="0" w:space="0" w:color="auto"/>
        <w:left w:val="none" w:sz="0" w:space="0" w:color="auto"/>
        <w:bottom w:val="none" w:sz="0" w:space="0" w:color="auto"/>
        <w:right w:val="none" w:sz="0" w:space="0" w:color="auto"/>
      </w:divBdr>
    </w:div>
    <w:div w:id="1401513250">
      <w:bodyDiv w:val="1"/>
      <w:marLeft w:val="0"/>
      <w:marRight w:val="0"/>
      <w:marTop w:val="0"/>
      <w:marBottom w:val="0"/>
      <w:divBdr>
        <w:top w:val="none" w:sz="0" w:space="0" w:color="auto"/>
        <w:left w:val="none" w:sz="0" w:space="0" w:color="auto"/>
        <w:bottom w:val="none" w:sz="0" w:space="0" w:color="auto"/>
        <w:right w:val="none" w:sz="0" w:space="0" w:color="auto"/>
      </w:divBdr>
    </w:div>
    <w:div w:id="1407073052">
      <w:bodyDiv w:val="1"/>
      <w:marLeft w:val="0"/>
      <w:marRight w:val="0"/>
      <w:marTop w:val="0"/>
      <w:marBottom w:val="0"/>
      <w:divBdr>
        <w:top w:val="none" w:sz="0" w:space="0" w:color="auto"/>
        <w:left w:val="none" w:sz="0" w:space="0" w:color="auto"/>
        <w:bottom w:val="none" w:sz="0" w:space="0" w:color="auto"/>
        <w:right w:val="none" w:sz="0" w:space="0" w:color="auto"/>
      </w:divBdr>
    </w:div>
    <w:div w:id="1410539001">
      <w:bodyDiv w:val="1"/>
      <w:marLeft w:val="0"/>
      <w:marRight w:val="0"/>
      <w:marTop w:val="0"/>
      <w:marBottom w:val="0"/>
      <w:divBdr>
        <w:top w:val="none" w:sz="0" w:space="0" w:color="auto"/>
        <w:left w:val="none" w:sz="0" w:space="0" w:color="auto"/>
        <w:bottom w:val="none" w:sz="0" w:space="0" w:color="auto"/>
        <w:right w:val="none" w:sz="0" w:space="0" w:color="auto"/>
      </w:divBdr>
    </w:div>
    <w:div w:id="1411923824">
      <w:bodyDiv w:val="1"/>
      <w:marLeft w:val="0"/>
      <w:marRight w:val="0"/>
      <w:marTop w:val="0"/>
      <w:marBottom w:val="0"/>
      <w:divBdr>
        <w:top w:val="none" w:sz="0" w:space="0" w:color="auto"/>
        <w:left w:val="none" w:sz="0" w:space="0" w:color="auto"/>
        <w:bottom w:val="none" w:sz="0" w:space="0" w:color="auto"/>
        <w:right w:val="none" w:sz="0" w:space="0" w:color="auto"/>
      </w:divBdr>
    </w:div>
    <w:div w:id="1419979764">
      <w:bodyDiv w:val="1"/>
      <w:marLeft w:val="0"/>
      <w:marRight w:val="0"/>
      <w:marTop w:val="0"/>
      <w:marBottom w:val="0"/>
      <w:divBdr>
        <w:top w:val="none" w:sz="0" w:space="0" w:color="auto"/>
        <w:left w:val="none" w:sz="0" w:space="0" w:color="auto"/>
        <w:bottom w:val="none" w:sz="0" w:space="0" w:color="auto"/>
        <w:right w:val="none" w:sz="0" w:space="0" w:color="auto"/>
      </w:divBdr>
    </w:div>
    <w:div w:id="1439639673">
      <w:bodyDiv w:val="1"/>
      <w:marLeft w:val="0"/>
      <w:marRight w:val="0"/>
      <w:marTop w:val="0"/>
      <w:marBottom w:val="0"/>
      <w:divBdr>
        <w:top w:val="none" w:sz="0" w:space="0" w:color="auto"/>
        <w:left w:val="none" w:sz="0" w:space="0" w:color="auto"/>
        <w:bottom w:val="none" w:sz="0" w:space="0" w:color="auto"/>
        <w:right w:val="none" w:sz="0" w:space="0" w:color="auto"/>
      </w:divBdr>
    </w:div>
    <w:div w:id="1441756099">
      <w:bodyDiv w:val="1"/>
      <w:marLeft w:val="0"/>
      <w:marRight w:val="0"/>
      <w:marTop w:val="0"/>
      <w:marBottom w:val="0"/>
      <w:divBdr>
        <w:top w:val="none" w:sz="0" w:space="0" w:color="auto"/>
        <w:left w:val="none" w:sz="0" w:space="0" w:color="auto"/>
        <w:bottom w:val="none" w:sz="0" w:space="0" w:color="auto"/>
        <w:right w:val="none" w:sz="0" w:space="0" w:color="auto"/>
      </w:divBdr>
    </w:div>
    <w:div w:id="1466197963">
      <w:bodyDiv w:val="1"/>
      <w:marLeft w:val="0"/>
      <w:marRight w:val="0"/>
      <w:marTop w:val="0"/>
      <w:marBottom w:val="0"/>
      <w:divBdr>
        <w:top w:val="none" w:sz="0" w:space="0" w:color="auto"/>
        <w:left w:val="none" w:sz="0" w:space="0" w:color="auto"/>
        <w:bottom w:val="none" w:sz="0" w:space="0" w:color="auto"/>
        <w:right w:val="none" w:sz="0" w:space="0" w:color="auto"/>
      </w:divBdr>
    </w:div>
    <w:div w:id="1474836697">
      <w:bodyDiv w:val="1"/>
      <w:marLeft w:val="0"/>
      <w:marRight w:val="0"/>
      <w:marTop w:val="0"/>
      <w:marBottom w:val="0"/>
      <w:divBdr>
        <w:top w:val="none" w:sz="0" w:space="0" w:color="auto"/>
        <w:left w:val="none" w:sz="0" w:space="0" w:color="auto"/>
        <w:bottom w:val="none" w:sz="0" w:space="0" w:color="auto"/>
        <w:right w:val="none" w:sz="0" w:space="0" w:color="auto"/>
      </w:divBdr>
    </w:div>
    <w:div w:id="1476604575">
      <w:bodyDiv w:val="1"/>
      <w:marLeft w:val="0"/>
      <w:marRight w:val="0"/>
      <w:marTop w:val="0"/>
      <w:marBottom w:val="0"/>
      <w:divBdr>
        <w:top w:val="none" w:sz="0" w:space="0" w:color="auto"/>
        <w:left w:val="none" w:sz="0" w:space="0" w:color="auto"/>
        <w:bottom w:val="none" w:sz="0" w:space="0" w:color="auto"/>
        <w:right w:val="none" w:sz="0" w:space="0" w:color="auto"/>
      </w:divBdr>
    </w:div>
    <w:div w:id="1477575186">
      <w:bodyDiv w:val="1"/>
      <w:marLeft w:val="0"/>
      <w:marRight w:val="0"/>
      <w:marTop w:val="0"/>
      <w:marBottom w:val="0"/>
      <w:divBdr>
        <w:top w:val="none" w:sz="0" w:space="0" w:color="auto"/>
        <w:left w:val="none" w:sz="0" w:space="0" w:color="auto"/>
        <w:bottom w:val="none" w:sz="0" w:space="0" w:color="auto"/>
        <w:right w:val="none" w:sz="0" w:space="0" w:color="auto"/>
      </w:divBdr>
    </w:div>
    <w:div w:id="1479880257">
      <w:bodyDiv w:val="1"/>
      <w:marLeft w:val="0"/>
      <w:marRight w:val="0"/>
      <w:marTop w:val="0"/>
      <w:marBottom w:val="0"/>
      <w:divBdr>
        <w:top w:val="none" w:sz="0" w:space="0" w:color="auto"/>
        <w:left w:val="none" w:sz="0" w:space="0" w:color="auto"/>
        <w:bottom w:val="none" w:sz="0" w:space="0" w:color="auto"/>
        <w:right w:val="none" w:sz="0" w:space="0" w:color="auto"/>
      </w:divBdr>
    </w:div>
    <w:div w:id="1481114769">
      <w:bodyDiv w:val="1"/>
      <w:marLeft w:val="0"/>
      <w:marRight w:val="0"/>
      <w:marTop w:val="0"/>
      <w:marBottom w:val="0"/>
      <w:divBdr>
        <w:top w:val="none" w:sz="0" w:space="0" w:color="auto"/>
        <w:left w:val="none" w:sz="0" w:space="0" w:color="auto"/>
        <w:bottom w:val="none" w:sz="0" w:space="0" w:color="auto"/>
        <w:right w:val="none" w:sz="0" w:space="0" w:color="auto"/>
      </w:divBdr>
    </w:div>
    <w:div w:id="1487820795">
      <w:bodyDiv w:val="1"/>
      <w:marLeft w:val="0"/>
      <w:marRight w:val="0"/>
      <w:marTop w:val="0"/>
      <w:marBottom w:val="0"/>
      <w:divBdr>
        <w:top w:val="none" w:sz="0" w:space="0" w:color="auto"/>
        <w:left w:val="none" w:sz="0" w:space="0" w:color="auto"/>
        <w:bottom w:val="none" w:sz="0" w:space="0" w:color="auto"/>
        <w:right w:val="none" w:sz="0" w:space="0" w:color="auto"/>
      </w:divBdr>
    </w:div>
    <w:div w:id="1494907207">
      <w:bodyDiv w:val="1"/>
      <w:marLeft w:val="0"/>
      <w:marRight w:val="0"/>
      <w:marTop w:val="0"/>
      <w:marBottom w:val="0"/>
      <w:divBdr>
        <w:top w:val="none" w:sz="0" w:space="0" w:color="auto"/>
        <w:left w:val="none" w:sz="0" w:space="0" w:color="auto"/>
        <w:bottom w:val="none" w:sz="0" w:space="0" w:color="auto"/>
        <w:right w:val="none" w:sz="0" w:space="0" w:color="auto"/>
      </w:divBdr>
    </w:div>
    <w:div w:id="1495025642">
      <w:bodyDiv w:val="1"/>
      <w:marLeft w:val="0"/>
      <w:marRight w:val="0"/>
      <w:marTop w:val="0"/>
      <w:marBottom w:val="0"/>
      <w:divBdr>
        <w:top w:val="none" w:sz="0" w:space="0" w:color="auto"/>
        <w:left w:val="none" w:sz="0" w:space="0" w:color="auto"/>
        <w:bottom w:val="none" w:sz="0" w:space="0" w:color="auto"/>
        <w:right w:val="none" w:sz="0" w:space="0" w:color="auto"/>
      </w:divBdr>
    </w:div>
    <w:div w:id="1498575227">
      <w:bodyDiv w:val="1"/>
      <w:marLeft w:val="0"/>
      <w:marRight w:val="0"/>
      <w:marTop w:val="0"/>
      <w:marBottom w:val="0"/>
      <w:divBdr>
        <w:top w:val="none" w:sz="0" w:space="0" w:color="auto"/>
        <w:left w:val="none" w:sz="0" w:space="0" w:color="auto"/>
        <w:bottom w:val="none" w:sz="0" w:space="0" w:color="auto"/>
        <w:right w:val="none" w:sz="0" w:space="0" w:color="auto"/>
      </w:divBdr>
    </w:div>
    <w:div w:id="1504315718">
      <w:bodyDiv w:val="1"/>
      <w:marLeft w:val="0"/>
      <w:marRight w:val="0"/>
      <w:marTop w:val="0"/>
      <w:marBottom w:val="0"/>
      <w:divBdr>
        <w:top w:val="none" w:sz="0" w:space="0" w:color="auto"/>
        <w:left w:val="none" w:sz="0" w:space="0" w:color="auto"/>
        <w:bottom w:val="none" w:sz="0" w:space="0" w:color="auto"/>
        <w:right w:val="none" w:sz="0" w:space="0" w:color="auto"/>
      </w:divBdr>
    </w:div>
    <w:div w:id="1510947722">
      <w:bodyDiv w:val="1"/>
      <w:marLeft w:val="0"/>
      <w:marRight w:val="0"/>
      <w:marTop w:val="0"/>
      <w:marBottom w:val="0"/>
      <w:divBdr>
        <w:top w:val="none" w:sz="0" w:space="0" w:color="auto"/>
        <w:left w:val="none" w:sz="0" w:space="0" w:color="auto"/>
        <w:bottom w:val="none" w:sz="0" w:space="0" w:color="auto"/>
        <w:right w:val="none" w:sz="0" w:space="0" w:color="auto"/>
      </w:divBdr>
    </w:div>
    <w:div w:id="1512911744">
      <w:bodyDiv w:val="1"/>
      <w:marLeft w:val="0"/>
      <w:marRight w:val="0"/>
      <w:marTop w:val="0"/>
      <w:marBottom w:val="0"/>
      <w:divBdr>
        <w:top w:val="none" w:sz="0" w:space="0" w:color="auto"/>
        <w:left w:val="none" w:sz="0" w:space="0" w:color="auto"/>
        <w:bottom w:val="none" w:sz="0" w:space="0" w:color="auto"/>
        <w:right w:val="none" w:sz="0" w:space="0" w:color="auto"/>
      </w:divBdr>
    </w:div>
    <w:div w:id="1513759764">
      <w:bodyDiv w:val="1"/>
      <w:marLeft w:val="0"/>
      <w:marRight w:val="0"/>
      <w:marTop w:val="0"/>
      <w:marBottom w:val="0"/>
      <w:divBdr>
        <w:top w:val="none" w:sz="0" w:space="0" w:color="auto"/>
        <w:left w:val="none" w:sz="0" w:space="0" w:color="auto"/>
        <w:bottom w:val="none" w:sz="0" w:space="0" w:color="auto"/>
        <w:right w:val="none" w:sz="0" w:space="0" w:color="auto"/>
      </w:divBdr>
    </w:div>
    <w:div w:id="1520847252">
      <w:bodyDiv w:val="1"/>
      <w:marLeft w:val="0"/>
      <w:marRight w:val="0"/>
      <w:marTop w:val="0"/>
      <w:marBottom w:val="0"/>
      <w:divBdr>
        <w:top w:val="none" w:sz="0" w:space="0" w:color="auto"/>
        <w:left w:val="none" w:sz="0" w:space="0" w:color="auto"/>
        <w:bottom w:val="none" w:sz="0" w:space="0" w:color="auto"/>
        <w:right w:val="none" w:sz="0" w:space="0" w:color="auto"/>
      </w:divBdr>
    </w:div>
    <w:div w:id="1529487370">
      <w:bodyDiv w:val="1"/>
      <w:marLeft w:val="0"/>
      <w:marRight w:val="0"/>
      <w:marTop w:val="0"/>
      <w:marBottom w:val="0"/>
      <w:divBdr>
        <w:top w:val="none" w:sz="0" w:space="0" w:color="auto"/>
        <w:left w:val="none" w:sz="0" w:space="0" w:color="auto"/>
        <w:bottom w:val="none" w:sz="0" w:space="0" w:color="auto"/>
        <w:right w:val="none" w:sz="0" w:space="0" w:color="auto"/>
      </w:divBdr>
    </w:div>
    <w:div w:id="1529753716">
      <w:bodyDiv w:val="1"/>
      <w:marLeft w:val="0"/>
      <w:marRight w:val="0"/>
      <w:marTop w:val="0"/>
      <w:marBottom w:val="0"/>
      <w:divBdr>
        <w:top w:val="none" w:sz="0" w:space="0" w:color="auto"/>
        <w:left w:val="none" w:sz="0" w:space="0" w:color="auto"/>
        <w:bottom w:val="none" w:sz="0" w:space="0" w:color="auto"/>
        <w:right w:val="none" w:sz="0" w:space="0" w:color="auto"/>
      </w:divBdr>
    </w:div>
    <w:div w:id="1547525889">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557204249">
      <w:bodyDiv w:val="1"/>
      <w:marLeft w:val="0"/>
      <w:marRight w:val="0"/>
      <w:marTop w:val="0"/>
      <w:marBottom w:val="0"/>
      <w:divBdr>
        <w:top w:val="none" w:sz="0" w:space="0" w:color="auto"/>
        <w:left w:val="none" w:sz="0" w:space="0" w:color="auto"/>
        <w:bottom w:val="none" w:sz="0" w:space="0" w:color="auto"/>
        <w:right w:val="none" w:sz="0" w:space="0" w:color="auto"/>
      </w:divBdr>
    </w:div>
    <w:div w:id="1564635954">
      <w:bodyDiv w:val="1"/>
      <w:marLeft w:val="0"/>
      <w:marRight w:val="0"/>
      <w:marTop w:val="0"/>
      <w:marBottom w:val="0"/>
      <w:divBdr>
        <w:top w:val="none" w:sz="0" w:space="0" w:color="auto"/>
        <w:left w:val="none" w:sz="0" w:space="0" w:color="auto"/>
        <w:bottom w:val="none" w:sz="0" w:space="0" w:color="auto"/>
        <w:right w:val="none" w:sz="0" w:space="0" w:color="auto"/>
      </w:divBdr>
    </w:div>
    <w:div w:id="1564826860">
      <w:bodyDiv w:val="1"/>
      <w:marLeft w:val="0"/>
      <w:marRight w:val="0"/>
      <w:marTop w:val="0"/>
      <w:marBottom w:val="0"/>
      <w:divBdr>
        <w:top w:val="none" w:sz="0" w:space="0" w:color="auto"/>
        <w:left w:val="none" w:sz="0" w:space="0" w:color="auto"/>
        <w:bottom w:val="none" w:sz="0" w:space="0" w:color="auto"/>
        <w:right w:val="none" w:sz="0" w:space="0" w:color="auto"/>
      </w:divBdr>
    </w:div>
    <w:div w:id="1568177111">
      <w:bodyDiv w:val="1"/>
      <w:marLeft w:val="0"/>
      <w:marRight w:val="0"/>
      <w:marTop w:val="0"/>
      <w:marBottom w:val="0"/>
      <w:divBdr>
        <w:top w:val="none" w:sz="0" w:space="0" w:color="auto"/>
        <w:left w:val="none" w:sz="0" w:space="0" w:color="auto"/>
        <w:bottom w:val="none" w:sz="0" w:space="0" w:color="auto"/>
        <w:right w:val="none" w:sz="0" w:space="0" w:color="auto"/>
      </w:divBdr>
    </w:div>
    <w:div w:id="1586838914">
      <w:bodyDiv w:val="1"/>
      <w:marLeft w:val="0"/>
      <w:marRight w:val="0"/>
      <w:marTop w:val="0"/>
      <w:marBottom w:val="0"/>
      <w:divBdr>
        <w:top w:val="none" w:sz="0" w:space="0" w:color="auto"/>
        <w:left w:val="none" w:sz="0" w:space="0" w:color="auto"/>
        <w:bottom w:val="none" w:sz="0" w:space="0" w:color="auto"/>
        <w:right w:val="none" w:sz="0" w:space="0" w:color="auto"/>
      </w:divBdr>
    </w:div>
    <w:div w:id="1590771192">
      <w:bodyDiv w:val="1"/>
      <w:marLeft w:val="0"/>
      <w:marRight w:val="0"/>
      <w:marTop w:val="0"/>
      <w:marBottom w:val="0"/>
      <w:divBdr>
        <w:top w:val="none" w:sz="0" w:space="0" w:color="auto"/>
        <w:left w:val="none" w:sz="0" w:space="0" w:color="auto"/>
        <w:bottom w:val="none" w:sz="0" w:space="0" w:color="auto"/>
        <w:right w:val="none" w:sz="0" w:space="0" w:color="auto"/>
      </w:divBdr>
    </w:div>
    <w:div w:id="1598518160">
      <w:bodyDiv w:val="1"/>
      <w:marLeft w:val="0"/>
      <w:marRight w:val="0"/>
      <w:marTop w:val="0"/>
      <w:marBottom w:val="0"/>
      <w:divBdr>
        <w:top w:val="none" w:sz="0" w:space="0" w:color="auto"/>
        <w:left w:val="none" w:sz="0" w:space="0" w:color="auto"/>
        <w:bottom w:val="none" w:sz="0" w:space="0" w:color="auto"/>
        <w:right w:val="none" w:sz="0" w:space="0" w:color="auto"/>
      </w:divBdr>
    </w:div>
    <w:div w:id="1606883514">
      <w:bodyDiv w:val="1"/>
      <w:marLeft w:val="0"/>
      <w:marRight w:val="0"/>
      <w:marTop w:val="0"/>
      <w:marBottom w:val="0"/>
      <w:divBdr>
        <w:top w:val="none" w:sz="0" w:space="0" w:color="auto"/>
        <w:left w:val="none" w:sz="0" w:space="0" w:color="auto"/>
        <w:bottom w:val="none" w:sz="0" w:space="0" w:color="auto"/>
        <w:right w:val="none" w:sz="0" w:space="0" w:color="auto"/>
      </w:divBdr>
    </w:div>
    <w:div w:id="1608926438">
      <w:bodyDiv w:val="1"/>
      <w:marLeft w:val="0"/>
      <w:marRight w:val="0"/>
      <w:marTop w:val="0"/>
      <w:marBottom w:val="0"/>
      <w:divBdr>
        <w:top w:val="none" w:sz="0" w:space="0" w:color="auto"/>
        <w:left w:val="none" w:sz="0" w:space="0" w:color="auto"/>
        <w:bottom w:val="none" w:sz="0" w:space="0" w:color="auto"/>
        <w:right w:val="none" w:sz="0" w:space="0" w:color="auto"/>
      </w:divBdr>
    </w:div>
    <w:div w:id="1626034825">
      <w:bodyDiv w:val="1"/>
      <w:marLeft w:val="0"/>
      <w:marRight w:val="0"/>
      <w:marTop w:val="0"/>
      <w:marBottom w:val="0"/>
      <w:divBdr>
        <w:top w:val="none" w:sz="0" w:space="0" w:color="auto"/>
        <w:left w:val="none" w:sz="0" w:space="0" w:color="auto"/>
        <w:bottom w:val="none" w:sz="0" w:space="0" w:color="auto"/>
        <w:right w:val="none" w:sz="0" w:space="0" w:color="auto"/>
      </w:divBdr>
    </w:div>
    <w:div w:id="1635867605">
      <w:bodyDiv w:val="1"/>
      <w:marLeft w:val="0"/>
      <w:marRight w:val="0"/>
      <w:marTop w:val="0"/>
      <w:marBottom w:val="0"/>
      <w:divBdr>
        <w:top w:val="none" w:sz="0" w:space="0" w:color="auto"/>
        <w:left w:val="none" w:sz="0" w:space="0" w:color="auto"/>
        <w:bottom w:val="none" w:sz="0" w:space="0" w:color="auto"/>
        <w:right w:val="none" w:sz="0" w:space="0" w:color="auto"/>
      </w:divBdr>
    </w:div>
    <w:div w:id="1642080129">
      <w:bodyDiv w:val="1"/>
      <w:marLeft w:val="0"/>
      <w:marRight w:val="0"/>
      <w:marTop w:val="0"/>
      <w:marBottom w:val="0"/>
      <w:divBdr>
        <w:top w:val="none" w:sz="0" w:space="0" w:color="auto"/>
        <w:left w:val="none" w:sz="0" w:space="0" w:color="auto"/>
        <w:bottom w:val="none" w:sz="0" w:space="0" w:color="auto"/>
        <w:right w:val="none" w:sz="0" w:space="0" w:color="auto"/>
      </w:divBdr>
    </w:div>
    <w:div w:id="1642418694">
      <w:bodyDiv w:val="1"/>
      <w:marLeft w:val="0"/>
      <w:marRight w:val="0"/>
      <w:marTop w:val="0"/>
      <w:marBottom w:val="0"/>
      <w:divBdr>
        <w:top w:val="none" w:sz="0" w:space="0" w:color="auto"/>
        <w:left w:val="none" w:sz="0" w:space="0" w:color="auto"/>
        <w:bottom w:val="none" w:sz="0" w:space="0" w:color="auto"/>
        <w:right w:val="none" w:sz="0" w:space="0" w:color="auto"/>
      </w:divBdr>
    </w:div>
    <w:div w:id="1647052824">
      <w:bodyDiv w:val="1"/>
      <w:marLeft w:val="0"/>
      <w:marRight w:val="0"/>
      <w:marTop w:val="0"/>
      <w:marBottom w:val="0"/>
      <w:divBdr>
        <w:top w:val="none" w:sz="0" w:space="0" w:color="auto"/>
        <w:left w:val="none" w:sz="0" w:space="0" w:color="auto"/>
        <w:bottom w:val="none" w:sz="0" w:space="0" w:color="auto"/>
        <w:right w:val="none" w:sz="0" w:space="0" w:color="auto"/>
      </w:divBdr>
    </w:div>
    <w:div w:id="1647319622">
      <w:bodyDiv w:val="1"/>
      <w:marLeft w:val="0"/>
      <w:marRight w:val="0"/>
      <w:marTop w:val="0"/>
      <w:marBottom w:val="0"/>
      <w:divBdr>
        <w:top w:val="none" w:sz="0" w:space="0" w:color="auto"/>
        <w:left w:val="none" w:sz="0" w:space="0" w:color="auto"/>
        <w:bottom w:val="none" w:sz="0" w:space="0" w:color="auto"/>
        <w:right w:val="none" w:sz="0" w:space="0" w:color="auto"/>
      </w:divBdr>
    </w:div>
    <w:div w:id="1649045939">
      <w:bodyDiv w:val="1"/>
      <w:marLeft w:val="0"/>
      <w:marRight w:val="0"/>
      <w:marTop w:val="0"/>
      <w:marBottom w:val="0"/>
      <w:divBdr>
        <w:top w:val="none" w:sz="0" w:space="0" w:color="auto"/>
        <w:left w:val="none" w:sz="0" w:space="0" w:color="auto"/>
        <w:bottom w:val="none" w:sz="0" w:space="0" w:color="auto"/>
        <w:right w:val="none" w:sz="0" w:space="0" w:color="auto"/>
      </w:divBdr>
    </w:div>
    <w:div w:id="1654483018">
      <w:bodyDiv w:val="1"/>
      <w:marLeft w:val="0"/>
      <w:marRight w:val="0"/>
      <w:marTop w:val="0"/>
      <w:marBottom w:val="0"/>
      <w:divBdr>
        <w:top w:val="none" w:sz="0" w:space="0" w:color="auto"/>
        <w:left w:val="none" w:sz="0" w:space="0" w:color="auto"/>
        <w:bottom w:val="none" w:sz="0" w:space="0" w:color="auto"/>
        <w:right w:val="none" w:sz="0" w:space="0" w:color="auto"/>
      </w:divBdr>
    </w:div>
    <w:div w:id="1658269310">
      <w:bodyDiv w:val="1"/>
      <w:marLeft w:val="0"/>
      <w:marRight w:val="0"/>
      <w:marTop w:val="0"/>
      <w:marBottom w:val="0"/>
      <w:divBdr>
        <w:top w:val="none" w:sz="0" w:space="0" w:color="auto"/>
        <w:left w:val="none" w:sz="0" w:space="0" w:color="auto"/>
        <w:bottom w:val="none" w:sz="0" w:space="0" w:color="auto"/>
        <w:right w:val="none" w:sz="0" w:space="0" w:color="auto"/>
      </w:divBdr>
    </w:div>
    <w:div w:id="1668095609">
      <w:bodyDiv w:val="1"/>
      <w:marLeft w:val="0"/>
      <w:marRight w:val="0"/>
      <w:marTop w:val="0"/>
      <w:marBottom w:val="0"/>
      <w:divBdr>
        <w:top w:val="none" w:sz="0" w:space="0" w:color="auto"/>
        <w:left w:val="none" w:sz="0" w:space="0" w:color="auto"/>
        <w:bottom w:val="none" w:sz="0" w:space="0" w:color="auto"/>
        <w:right w:val="none" w:sz="0" w:space="0" w:color="auto"/>
      </w:divBdr>
    </w:div>
    <w:div w:id="1674722026">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80544362">
      <w:bodyDiv w:val="1"/>
      <w:marLeft w:val="0"/>
      <w:marRight w:val="0"/>
      <w:marTop w:val="0"/>
      <w:marBottom w:val="0"/>
      <w:divBdr>
        <w:top w:val="none" w:sz="0" w:space="0" w:color="auto"/>
        <w:left w:val="none" w:sz="0" w:space="0" w:color="auto"/>
        <w:bottom w:val="none" w:sz="0" w:space="0" w:color="auto"/>
        <w:right w:val="none" w:sz="0" w:space="0" w:color="auto"/>
      </w:divBdr>
    </w:div>
    <w:div w:id="1683704044">
      <w:bodyDiv w:val="1"/>
      <w:marLeft w:val="0"/>
      <w:marRight w:val="0"/>
      <w:marTop w:val="0"/>
      <w:marBottom w:val="0"/>
      <w:divBdr>
        <w:top w:val="none" w:sz="0" w:space="0" w:color="auto"/>
        <w:left w:val="none" w:sz="0" w:space="0" w:color="auto"/>
        <w:bottom w:val="none" w:sz="0" w:space="0" w:color="auto"/>
        <w:right w:val="none" w:sz="0" w:space="0" w:color="auto"/>
      </w:divBdr>
    </w:div>
    <w:div w:id="1686904442">
      <w:bodyDiv w:val="1"/>
      <w:marLeft w:val="0"/>
      <w:marRight w:val="0"/>
      <w:marTop w:val="0"/>
      <w:marBottom w:val="0"/>
      <w:divBdr>
        <w:top w:val="none" w:sz="0" w:space="0" w:color="auto"/>
        <w:left w:val="none" w:sz="0" w:space="0" w:color="auto"/>
        <w:bottom w:val="none" w:sz="0" w:space="0" w:color="auto"/>
        <w:right w:val="none" w:sz="0" w:space="0" w:color="auto"/>
      </w:divBdr>
    </w:div>
    <w:div w:id="1691177135">
      <w:bodyDiv w:val="1"/>
      <w:marLeft w:val="0"/>
      <w:marRight w:val="0"/>
      <w:marTop w:val="0"/>
      <w:marBottom w:val="0"/>
      <w:divBdr>
        <w:top w:val="none" w:sz="0" w:space="0" w:color="auto"/>
        <w:left w:val="none" w:sz="0" w:space="0" w:color="auto"/>
        <w:bottom w:val="none" w:sz="0" w:space="0" w:color="auto"/>
        <w:right w:val="none" w:sz="0" w:space="0" w:color="auto"/>
      </w:divBdr>
    </w:div>
    <w:div w:id="1699820386">
      <w:bodyDiv w:val="1"/>
      <w:marLeft w:val="0"/>
      <w:marRight w:val="0"/>
      <w:marTop w:val="0"/>
      <w:marBottom w:val="0"/>
      <w:divBdr>
        <w:top w:val="none" w:sz="0" w:space="0" w:color="auto"/>
        <w:left w:val="none" w:sz="0" w:space="0" w:color="auto"/>
        <w:bottom w:val="none" w:sz="0" w:space="0" w:color="auto"/>
        <w:right w:val="none" w:sz="0" w:space="0" w:color="auto"/>
      </w:divBdr>
    </w:div>
    <w:div w:id="1700202273">
      <w:bodyDiv w:val="1"/>
      <w:marLeft w:val="0"/>
      <w:marRight w:val="0"/>
      <w:marTop w:val="0"/>
      <w:marBottom w:val="0"/>
      <w:divBdr>
        <w:top w:val="none" w:sz="0" w:space="0" w:color="auto"/>
        <w:left w:val="none" w:sz="0" w:space="0" w:color="auto"/>
        <w:bottom w:val="none" w:sz="0" w:space="0" w:color="auto"/>
        <w:right w:val="none" w:sz="0" w:space="0" w:color="auto"/>
      </w:divBdr>
    </w:div>
    <w:div w:id="1701861208">
      <w:bodyDiv w:val="1"/>
      <w:marLeft w:val="0"/>
      <w:marRight w:val="0"/>
      <w:marTop w:val="0"/>
      <w:marBottom w:val="0"/>
      <w:divBdr>
        <w:top w:val="none" w:sz="0" w:space="0" w:color="auto"/>
        <w:left w:val="none" w:sz="0" w:space="0" w:color="auto"/>
        <w:bottom w:val="none" w:sz="0" w:space="0" w:color="auto"/>
        <w:right w:val="none" w:sz="0" w:space="0" w:color="auto"/>
      </w:divBdr>
    </w:div>
    <w:div w:id="1716584949">
      <w:bodyDiv w:val="1"/>
      <w:marLeft w:val="0"/>
      <w:marRight w:val="0"/>
      <w:marTop w:val="0"/>
      <w:marBottom w:val="0"/>
      <w:divBdr>
        <w:top w:val="none" w:sz="0" w:space="0" w:color="auto"/>
        <w:left w:val="none" w:sz="0" w:space="0" w:color="auto"/>
        <w:bottom w:val="none" w:sz="0" w:space="0" w:color="auto"/>
        <w:right w:val="none" w:sz="0" w:space="0" w:color="auto"/>
      </w:divBdr>
    </w:div>
    <w:div w:id="1734616603">
      <w:bodyDiv w:val="1"/>
      <w:marLeft w:val="0"/>
      <w:marRight w:val="0"/>
      <w:marTop w:val="0"/>
      <w:marBottom w:val="0"/>
      <w:divBdr>
        <w:top w:val="none" w:sz="0" w:space="0" w:color="auto"/>
        <w:left w:val="none" w:sz="0" w:space="0" w:color="auto"/>
        <w:bottom w:val="none" w:sz="0" w:space="0" w:color="auto"/>
        <w:right w:val="none" w:sz="0" w:space="0" w:color="auto"/>
      </w:divBdr>
    </w:div>
    <w:div w:id="1741512840">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50540094">
      <w:bodyDiv w:val="1"/>
      <w:marLeft w:val="0"/>
      <w:marRight w:val="0"/>
      <w:marTop w:val="0"/>
      <w:marBottom w:val="0"/>
      <w:divBdr>
        <w:top w:val="none" w:sz="0" w:space="0" w:color="auto"/>
        <w:left w:val="none" w:sz="0" w:space="0" w:color="auto"/>
        <w:bottom w:val="none" w:sz="0" w:space="0" w:color="auto"/>
        <w:right w:val="none" w:sz="0" w:space="0" w:color="auto"/>
      </w:divBdr>
    </w:div>
    <w:div w:id="1755973622">
      <w:bodyDiv w:val="1"/>
      <w:marLeft w:val="0"/>
      <w:marRight w:val="0"/>
      <w:marTop w:val="0"/>
      <w:marBottom w:val="0"/>
      <w:divBdr>
        <w:top w:val="none" w:sz="0" w:space="0" w:color="auto"/>
        <w:left w:val="none" w:sz="0" w:space="0" w:color="auto"/>
        <w:bottom w:val="none" w:sz="0" w:space="0" w:color="auto"/>
        <w:right w:val="none" w:sz="0" w:space="0" w:color="auto"/>
      </w:divBdr>
    </w:div>
    <w:div w:id="1758091672">
      <w:bodyDiv w:val="1"/>
      <w:marLeft w:val="0"/>
      <w:marRight w:val="0"/>
      <w:marTop w:val="0"/>
      <w:marBottom w:val="0"/>
      <w:divBdr>
        <w:top w:val="none" w:sz="0" w:space="0" w:color="auto"/>
        <w:left w:val="none" w:sz="0" w:space="0" w:color="auto"/>
        <w:bottom w:val="none" w:sz="0" w:space="0" w:color="auto"/>
        <w:right w:val="none" w:sz="0" w:space="0" w:color="auto"/>
      </w:divBdr>
    </w:div>
    <w:div w:id="1762677290">
      <w:bodyDiv w:val="1"/>
      <w:marLeft w:val="0"/>
      <w:marRight w:val="0"/>
      <w:marTop w:val="0"/>
      <w:marBottom w:val="0"/>
      <w:divBdr>
        <w:top w:val="none" w:sz="0" w:space="0" w:color="auto"/>
        <w:left w:val="none" w:sz="0" w:space="0" w:color="auto"/>
        <w:bottom w:val="none" w:sz="0" w:space="0" w:color="auto"/>
        <w:right w:val="none" w:sz="0" w:space="0" w:color="auto"/>
      </w:divBdr>
    </w:div>
    <w:div w:id="1767388373">
      <w:bodyDiv w:val="1"/>
      <w:marLeft w:val="0"/>
      <w:marRight w:val="0"/>
      <w:marTop w:val="0"/>
      <w:marBottom w:val="0"/>
      <w:divBdr>
        <w:top w:val="none" w:sz="0" w:space="0" w:color="auto"/>
        <w:left w:val="none" w:sz="0" w:space="0" w:color="auto"/>
        <w:bottom w:val="none" w:sz="0" w:space="0" w:color="auto"/>
        <w:right w:val="none" w:sz="0" w:space="0" w:color="auto"/>
      </w:divBdr>
    </w:div>
    <w:div w:id="1769502952">
      <w:bodyDiv w:val="1"/>
      <w:marLeft w:val="0"/>
      <w:marRight w:val="0"/>
      <w:marTop w:val="0"/>
      <w:marBottom w:val="0"/>
      <w:divBdr>
        <w:top w:val="none" w:sz="0" w:space="0" w:color="auto"/>
        <w:left w:val="none" w:sz="0" w:space="0" w:color="auto"/>
        <w:bottom w:val="none" w:sz="0" w:space="0" w:color="auto"/>
        <w:right w:val="none" w:sz="0" w:space="0" w:color="auto"/>
      </w:divBdr>
    </w:div>
    <w:div w:id="1779332330">
      <w:bodyDiv w:val="1"/>
      <w:marLeft w:val="0"/>
      <w:marRight w:val="0"/>
      <w:marTop w:val="0"/>
      <w:marBottom w:val="0"/>
      <w:divBdr>
        <w:top w:val="none" w:sz="0" w:space="0" w:color="auto"/>
        <w:left w:val="none" w:sz="0" w:space="0" w:color="auto"/>
        <w:bottom w:val="none" w:sz="0" w:space="0" w:color="auto"/>
        <w:right w:val="none" w:sz="0" w:space="0" w:color="auto"/>
      </w:divBdr>
    </w:div>
    <w:div w:id="1795557852">
      <w:bodyDiv w:val="1"/>
      <w:marLeft w:val="0"/>
      <w:marRight w:val="0"/>
      <w:marTop w:val="0"/>
      <w:marBottom w:val="0"/>
      <w:divBdr>
        <w:top w:val="none" w:sz="0" w:space="0" w:color="auto"/>
        <w:left w:val="none" w:sz="0" w:space="0" w:color="auto"/>
        <w:bottom w:val="none" w:sz="0" w:space="0" w:color="auto"/>
        <w:right w:val="none" w:sz="0" w:space="0" w:color="auto"/>
      </w:divBdr>
    </w:div>
    <w:div w:id="1799757604">
      <w:bodyDiv w:val="1"/>
      <w:marLeft w:val="0"/>
      <w:marRight w:val="0"/>
      <w:marTop w:val="0"/>
      <w:marBottom w:val="0"/>
      <w:divBdr>
        <w:top w:val="none" w:sz="0" w:space="0" w:color="auto"/>
        <w:left w:val="none" w:sz="0" w:space="0" w:color="auto"/>
        <w:bottom w:val="none" w:sz="0" w:space="0" w:color="auto"/>
        <w:right w:val="none" w:sz="0" w:space="0" w:color="auto"/>
      </w:divBdr>
    </w:div>
    <w:div w:id="1803843577">
      <w:bodyDiv w:val="1"/>
      <w:marLeft w:val="0"/>
      <w:marRight w:val="0"/>
      <w:marTop w:val="0"/>
      <w:marBottom w:val="0"/>
      <w:divBdr>
        <w:top w:val="none" w:sz="0" w:space="0" w:color="auto"/>
        <w:left w:val="none" w:sz="0" w:space="0" w:color="auto"/>
        <w:bottom w:val="none" w:sz="0" w:space="0" w:color="auto"/>
        <w:right w:val="none" w:sz="0" w:space="0" w:color="auto"/>
      </w:divBdr>
    </w:div>
    <w:div w:id="1821846277">
      <w:bodyDiv w:val="1"/>
      <w:marLeft w:val="0"/>
      <w:marRight w:val="0"/>
      <w:marTop w:val="0"/>
      <w:marBottom w:val="0"/>
      <w:divBdr>
        <w:top w:val="none" w:sz="0" w:space="0" w:color="auto"/>
        <w:left w:val="none" w:sz="0" w:space="0" w:color="auto"/>
        <w:bottom w:val="none" w:sz="0" w:space="0" w:color="auto"/>
        <w:right w:val="none" w:sz="0" w:space="0" w:color="auto"/>
      </w:divBdr>
    </w:div>
    <w:div w:id="1822190437">
      <w:bodyDiv w:val="1"/>
      <w:marLeft w:val="0"/>
      <w:marRight w:val="0"/>
      <w:marTop w:val="0"/>
      <w:marBottom w:val="0"/>
      <w:divBdr>
        <w:top w:val="none" w:sz="0" w:space="0" w:color="auto"/>
        <w:left w:val="none" w:sz="0" w:space="0" w:color="auto"/>
        <w:bottom w:val="none" w:sz="0" w:space="0" w:color="auto"/>
        <w:right w:val="none" w:sz="0" w:space="0" w:color="auto"/>
      </w:divBdr>
    </w:div>
    <w:div w:id="1823111780">
      <w:bodyDiv w:val="1"/>
      <w:marLeft w:val="0"/>
      <w:marRight w:val="0"/>
      <w:marTop w:val="0"/>
      <w:marBottom w:val="0"/>
      <w:divBdr>
        <w:top w:val="none" w:sz="0" w:space="0" w:color="auto"/>
        <w:left w:val="none" w:sz="0" w:space="0" w:color="auto"/>
        <w:bottom w:val="none" w:sz="0" w:space="0" w:color="auto"/>
        <w:right w:val="none" w:sz="0" w:space="0" w:color="auto"/>
      </w:divBdr>
    </w:div>
    <w:div w:id="1829975756">
      <w:bodyDiv w:val="1"/>
      <w:marLeft w:val="0"/>
      <w:marRight w:val="0"/>
      <w:marTop w:val="0"/>
      <w:marBottom w:val="0"/>
      <w:divBdr>
        <w:top w:val="none" w:sz="0" w:space="0" w:color="auto"/>
        <w:left w:val="none" w:sz="0" w:space="0" w:color="auto"/>
        <w:bottom w:val="none" w:sz="0" w:space="0" w:color="auto"/>
        <w:right w:val="none" w:sz="0" w:space="0" w:color="auto"/>
      </w:divBdr>
    </w:div>
    <w:div w:id="1839418918">
      <w:bodyDiv w:val="1"/>
      <w:marLeft w:val="0"/>
      <w:marRight w:val="0"/>
      <w:marTop w:val="0"/>
      <w:marBottom w:val="0"/>
      <w:divBdr>
        <w:top w:val="none" w:sz="0" w:space="0" w:color="auto"/>
        <w:left w:val="none" w:sz="0" w:space="0" w:color="auto"/>
        <w:bottom w:val="none" w:sz="0" w:space="0" w:color="auto"/>
        <w:right w:val="none" w:sz="0" w:space="0" w:color="auto"/>
      </w:divBdr>
    </w:div>
    <w:div w:id="1839687725">
      <w:bodyDiv w:val="1"/>
      <w:marLeft w:val="0"/>
      <w:marRight w:val="0"/>
      <w:marTop w:val="0"/>
      <w:marBottom w:val="0"/>
      <w:divBdr>
        <w:top w:val="none" w:sz="0" w:space="0" w:color="auto"/>
        <w:left w:val="none" w:sz="0" w:space="0" w:color="auto"/>
        <w:bottom w:val="none" w:sz="0" w:space="0" w:color="auto"/>
        <w:right w:val="none" w:sz="0" w:space="0" w:color="auto"/>
      </w:divBdr>
    </w:div>
    <w:div w:id="1861385862">
      <w:bodyDiv w:val="1"/>
      <w:marLeft w:val="0"/>
      <w:marRight w:val="0"/>
      <w:marTop w:val="0"/>
      <w:marBottom w:val="0"/>
      <w:divBdr>
        <w:top w:val="none" w:sz="0" w:space="0" w:color="auto"/>
        <w:left w:val="none" w:sz="0" w:space="0" w:color="auto"/>
        <w:bottom w:val="none" w:sz="0" w:space="0" w:color="auto"/>
        <w:right w:val="none" w:sz="0" w:space="0" w:color="auto"/>
      </w:divBdr>
    </w:div>
    <w:div w:id="1866480989">
      <w:bodyDiv w:val="1"/>
      <w:marLeft w:val="0"/>
      <w:marRight w:val="0"/>
      <w:marTop w:val="0"/>
      <w:marBottom w:val="0"/>
      <w:divBdr>
        <w:top w:val="none" w:sz="0" w:space="0" w:color="auto"/>
        <w:left w:val="none" w:sz="0" w:space="0" w:color="auto"/>
        <w:bottom w:val="none" w:sz="0" w:space="0" w:color="auto"/>
        <w:right w:val="none" w:sz="0" w:space="0" w:color="auto"/>
      </w:divBdr>
    </w:div>
    <w:div w:id="1872498404">
      <w:bodyDiv w:val="1"/>
      <w:marLeft w:val="0"/>
      <w:marRight w:val="0"/>
      <w:marTop w:val="0"/>
      <w:marBottom w:val="0"/>
      <w:divBdr>
        <w:top w:val="none" w:sz="0" w:space="0" w:color="auto"/>
        <w:left w:val="none" w:sz="0" w:space="0" w:color="auto"/>
        <w:bottom w:val="none" w:sz="0" w:space="0" w:color="auto"/>
        <w:right w:val="none" w:sz="0" w:space="0" w:color="auto"/>
      </w:divBdr>
    </w:div>
    <w:div w:id="1876770331">
      <w:bodyDiv w:val="1"/>
      <w:marLeft w:val="0"/>
      <w:marRight w:val="0"/>
      <w:marTop w:val="0"/>
      <w:marBottom w:val="0"/>
      <w:divBdr>
        <w:top w:val="none" w:sz="0" w:space="0" w:color="auto"/>
        <w:left w:val="none" w:sz="0" w:space="0" w:color="auto"/>
        <w:bottom w:val="none" w:sz="0" w:space="0" w:color="auto"/>
        <w:right w:val="none" w:sz="0" w:space="0" w:color="auto"/>
      </w:divBdr>
    </w:div>
    <w:div w:id="1894002843">
      <w:bodyDiv w:val="1"/>
      <w:marLeft w:val="0"/>
      <w:marRight w:val="0"/>
      <w:marTop w:val="0"/>
      <w:marBottom w:val="0"/>
      <w:divBdr>
        <w:top w:val="none" w:sz="0" w:space="0" w:color="auto"/>
        <w:left w:val="none" w:sz="0" w:space="0" w:color="auto"/>
        <w:bottom w:val="none" w:sz="0" w:space="0" w:color="auto"/>
        <w:right w:val="none" w:sz="0" w:space="0" w:color="auto"/>
      </w:divBdr>
    </w:div>
    <w:div w:id="1894806876">
      <w:bodyDiv w:val="1"/>
      <w:marLeft w:val="0"/>
      <w:marRight w:val="0"/>
      <w:marTop w:val="0"/>
      <w:marBottom w:val="0"/>
      <w:divBdr>
        <w:top w:val="none" w:sz="0" w:space="0" w:color="auto"/>
        <w:left w:val="none" w:sz="0" w:space="0" w:color="auto"/>
        <w:bottom w:val="none" w:sz="0" w:space="0" w:color="auto"/>
        <w:right w:val="none" w:sz="0" w:space="0" w:color="auto"/>
      </w:divBdr>
    </w:div>
    <w:div w:id="1900749813">
      <w:bodyDiv w:val="1"/>
      <w:marLeft w:val="0"/>
      <w:marRight w:val="0"/>
      <w:marTop w:val="0"/>
      <w:marBottom w:val="0"/>
      <w:divBdr>
        <w:top w:val="none" w:sz="0" w:space="0" w:color="auto"/>
        <w:left w:val="none" w:sz="0" w:space="0" w:color="auto"/>
        <w:bottom w:val="none" w:sz="0" w:space="0" w:color="auto"/>
        <w:right w:val="none" w:sz="0" w:space="0" w:color="auto"/>
      </w:divBdr>
    </w:div>
    <w:div w:id="1916238399">
      <w:bodyDiv w:val="1"/>
      <w:marLeft w:val="0"/>
      <w:marRight w:val="0"/>
      <w:marTop w:val="0"/>
      <w:marBottom w:val="0"/>
      <w:divBdr>
        <w:top w:val="none" w:sz="0" w:space="0" w:color="auto"/>
        <w:left w:val="none" w:sz="0" w:space="0" w:color="auto"/>
        <w:bottom w:val="none" w:sz="0" w:space="0" w:color="auto"/>
        <w:right w:val="none" w:sz="0" w:space="0" w:color="auto"/>
      </w:divBdr>
    </w:div>
    <w:div w:id="1937861679">
      <w:bodyDiv w:val="1"/>
      <w:marLeft w:val="0"/>
      <w:marRight w:val="0"/>
      <w:marTop w:val="0"/>
      <w:marBottom w:val="0"/>
      <w:divBdr>
        <w:top w:val="none" w:sz="0" w:space="0" w:color="auto"/>
        <w:left w:val="none" w:sz="0" w:space="0" w:color="auto"/>
        <w:bottom w:val="none" w:sz="0" w:space="0" w:color="auto"/>
        <w:right w:val="none" w:sz="0" w:space="0" w:color="auto"/>
      </w:divBdr>
    </w:div>
    <w:div w:id="1938714285">
      <w:bodyDiv w:val="1"/>
      <w:marLeft w:val="0"/>
      <w:marRight w:val="0"/>
      <w:marTop w:val="0"/>
      <w:marBottom w:val="0"/>
      <w:divBdr>
        <w:top w:val="none" w:sz="0" w:space="0" w:color="auto"/>
        <w:left w:val="none" w:sz="0" w:space="0" w:color="auto"/>
        <w:bottom w:val="none" w:sz="0" w:space="0" w:color="auto"/>
        <w:right w:val="none" w:sz="0" w:space="0" w:color="auto"/>
      </w:divBdr>
    </w:div>
    <w:div w:id="1946644677">
      <w:bodyDiv w:val="1"/>
      <w:marLeft w:val="0"/>
      <w:marRight w:val="0"/>
      <w:marTop w:val="0"/>
      <w:marBottom w:val="0"/>
      <w:divBdr>
        <w:top w:val="none" w:sz="0" w:space="0" w:color="auto"/>
        <w:left w:val="none" w:sz="0" w:space="0" w:color="auto"/>
        <w:bottom w:val="none" w:sz="0" w:space="0" w:color="auto"/>
        <w:right w:val="none" w:sz="0" w:space="0" w:color="auto"/>
      </w:divBdr>
    </w:div>
    <w:div w:id="1946962277">
      <w:bodyDiv w:val="1"/>
      <w:marLeft w:val="0"/>
      <w:marRight w:val="0"/>
      <w:marTop w:val="0"/>
      <w:marBottom w:val="0"/>
      <w:divBdr>
        <w:top w:val="none" w:sz="0" w:space="0" w:color="auto"/>
        <w:left w:val="none" w:sz="0" w:space="0" w:color="auto"/>
        <w:bottom w:val="none" w:sz="0" w:space="0" w:color="auto"/>
        <w:right w:val="none" w:sz="0" w:space="0" w:color="auto"/>
      </w:divBdr>
    </w:div>
    <w:div w:id="1950509859">
      <w:bodyDiv w:val="1"/>
      <w:marLeft w:val="0"/>
      <w:marRight w:val="0"/>
      <w:marTop w:val="0"/>
      <w:marBottom w:val="0"/>
      <w:divBdr>
        <w:top w:val="none" w:sz="0" w:space="0" w:color="auto"/>
        <w:left w:val="none" w:sz="0" w:space="0" w:color="auto"/>
        <w:bottom w:val="none" w:sz="0" w:space="0" w:color="auto"/>
        <w:right w:val="none" w:sz="0" w:space="0" w:color="auto"/>
      </w:divBdr>
    </w:div>
    <w:div w:id="1954745820">
      <w:bodyDiv w:val="1"/>
      <w:marLeft w:val="0"/>
      <w:marRight w:val="0"/>
      <w:marTop w:val="0"/>
      <w:marBottom w:val="0"/>
      <w:divBdr>
        <w:top w:val="none" w:sz="0" w:space="0" w:color="auto"/>
        <w:left w:val="none" w:sz="0" w:space="0" w:color="auto"/>
        <w:bottom w:val="none" w:sz="0" w:space="0" w:color="auto"/>
        <w:right w:val="none" w:sz="0" w:space="0" w:color="auto"/>
      </w:divBdr>
    </w:div>
    <w:div w:id="1960338654">
      <w:bodyDiv w:val="1"/>
      <w:marLeft w:val="0"/>
      <w:marRight w:val="0"/>
      <w:marTop w:val="0"/>
      <w:marBottom w:val="0"/>
      <w:divBdr>
        <w:top w:val="none" w:sz="0" w:space="0" w:color="auto"/>
        <w:left w:val="none" w:sz="0" w:space="0" w:color="auto"/>
        <w:bottom w:val="none" w:sz="0" w:space="0" w:color="auto"/>
        <w:right w:val="none" w:sz="0" w:space="0" w:color="auto"/>
      </w:divBdr>
    </w:div>
    <w:div w:id="1962765542">
      <w:bodyDiv w:val="1"/>
      <w:marLeft w:val="0"/>
      <w:marRight w:val="0"/>
      <w:marTop w:val="0"/>
      <w:marBottom w:val="0"/>
      <w:divBdr>
        <w:top w:val="none" w:sz="0" w:space="0" w:color="auto"/>
        <w:left w:val="none" w:sz="0" w:space="0" w:color="auto"/>
        <w:bottom w:val="none" w:sz="0" w:space="0" w:color="auto"/>
        <w:right w:val="none" w:sz="0" w:space="0" w:color="auto"/>
      </w:divBdr>
    </w:div>
    <w:div w:id="1965112028">
      <w:bodyDiv w:val="1"/>
      <w:marLeft w:val="0"/>
      <w:marRight w:val="0"/>
      <w:marTop w:val="0"/>
      <w:marBottom w:val="0"/>
      <w:divBdr>
        <w:top w:val="none" w:sz="0" w:space="0" w:color="auto"/>
        <w:left w:val="none" w:sz="0" w:space="0" w:color="auto"/>
        <w:bottom w:val="none" w:sz="0" w:space="0" w:color="auto"/>
        <w:right w:val="none" w:sz="0" w:space="0" w:color="auto"/>
      </w:divBdr>
    </w:div>
    <w:div w:id="1969703512">
      <w:bodyDiv w:val="1"/>
      <w:marLeft w:val="0"/>
      <w:marRight w:val="0"/>
      <w:marTop w:val="0"/>
      <w:marBottom w:val="0"/>
      <w:divBdr>
        <w:top w:val="none" w:sz="0" w:space="0" w:color="auto"/>
        <w:left w:val="none" w:sz="0" w:space="0" w:color="auto"/>
        <w:bottom w:val="none" w:sz="0" w:space="0" w:color="auto"/>
        <w:right w:val="none" w:sz="0" w:space="0" w:color="auto"/>
      </w:divBdr>
    </w:div>
    <w:div w:id="1983343318">
      <w:bodyDiv w:val="1"/>
      <w:marLeft w:val="0"/>
      <w:marRight w:val="0"/>
      <w:marTop w:val="0"/>
      <w:marBottom w:val="0"/>
      <w:divBdr>
        <w:top w:val="none" w:sz="0" w:space="0" w:color="auto"/>
        <w:left w:val="none" w:sz="0" w:space="0" w:color="auto"/>
        <w:bottom w:val="none" w:sz="0" w:space="0" w:color="auto"/>
        <w:right w:val="none" w:sz="0" w:space="0" w:color="auto"/>
      </w:divBdr>
    </w:div>
    <w:div w:id="1983921050">
      <w:bodyDiv w:val="1"/>
      <w:marLeft w:val="0"/>
      <w:marRight w:val="0"/>
      <w:marTop w:val="0"/>
      <w:marBottom w:val="0"/>
      <w:divBdr>
        <w:top w:val="none" w:sz="0" w:space="0" w:color="auto"/>
        <w:left w:val="none" w:sz="0" w:space="0" w:color="auto"/>
        <w:bottom w:val="none" w:sz="0" w:space="0" w:color="auto"/>
        <w:right w:val="none" w:sz="0" w:space="0" w:color="auto"/>
      </w:divBdr>
    </w:div>
    <w:div w:id="1988588065">
      <w:bodyDiv w:val="1"/>
      <w:marLeft w:val="0"/>
      <w:marRight w:val="0"/>
      <w:marTop w:val="0"/>
      <w:marBottom w:val="0"/>
      <w:divBdr>
        <w:top w:val="none" w:sz="0" w:space="0" w:color="auto"/>
        <w:left w:val="none" w:sz="0" w:space="0" w:color="auto"/>
        <w:bottom w:val="none" w:sz="0" w:space="0" w:color="auto"/>
        <w:right w:val="none" w:sz="0" w:space="0" w:color="auto"/>
      </w:divBdr>
    </w:div>
    <w:div w:id="1992446392">
      <w:bodyDiv w:val="1"/>
      <w:marLeft w:val="0"/>
      <w:marRight w:val="0"/>
      <w:marTop w:val="0"/>
      <w:marBottom w:val="0"/>
      <w:divBdr>
        <w:top w:val="none" w:sz="0" w:space="0" w:color="auto"/>
        <w:left w:val="none" w:sz="0" w:space="0" w:color="auto"/>
        <w:bottom w:val="none" w:sz="0" w:space="0" w:color="auto"/>
        <w:right w:val="none" w:sz="0" w:space="0" w:color="auto"/>
      </w:divBdr>
    </w:div>
    <w:div w:id="1993873018">
      <w:bodyDiv w:val="1"/>
      <w:marLeft w:val="0"/>
      <w:marRight w:val="0"/>
      <w:marTop w:val="0"/>
      <w:marBottom w:val="0"/>
      <w:divBdr>
        <w:top w:val="none" w:sz="0" w:space="0" w:color="auto"/>
        <w:left w:val="none" w:sz="0" w:space="0" w:color="auto"/>
        <w:bottom w:val="none" w:sz="0" w:space="0" w:color="auto"/>
        <w:right w:val="none" w:sz="0" w:space="0" w:color="auto"/>
      </w:divBdr>
    </w:div>
    <w:div w:id="1996374943">
      <w:bodyDiv w:val="1"/>
      <w:marLeft w:val="0"/>
      <w:marRight w:val="0"/>
      <w:marTop w:val="0"/>
      <w:marBottom w:val="0"/>
      <w:divBdr>
        <w:top w:val="none" w:sz="0" w:space="0" w:color="auto"/>
        <w:left w:val="none" w:sz="0" w:space="0" w:color="auto"/>
        <w:bottom w:val="none" w:sz="0" w:space="0" w:color="auto"/>
        <w:right w:val="none" w:sz="0" w:space="0" w:color="auto"/>
      </w:divBdr>
    </w:div>
    <w:div w:id="1997565501">
      <w:bodyDiv w:val="1"/>
      <w:marLeft w:val="0"/>
      <w:marRight w:val="0"/>
      <w:marTop w:val="0"/>
      <w:marBottom w:val="0"/>
      <w:divBdr>
        <w:top w:val="none" w:sz="0" w:space="0" w:color="auto"/>
        <w:left w:val="none" w:sz="0" w:space="0" w:color="auto"/>
        <w:bottom w:val="none" w:sz="0" w:space="0" w:color="auto"/>
        <w:right w:val="none" w:sz="0" w:space="0" w:color="auto"/>
      </w:divBdr>
    </w:div>
    <w:div w:id="1998534278">
      <w:bodyDiv w:val="1"/>
      <w:marLeft w:val="0"/>
      <w:marRight w:val="0"/>
      <w:marTop w:val="0"/>
      <w:marBottom w:val="0"/>
      <w:divBdr>
        <w:top w:val="none" w:sz="0" w:space="0" w:color="auto"/>
        <w:left w:val="none" w:sz="0" w:space="0" w:color="auto"/>
        <w:bottom w:val="none" w:sz="0" w:space="0" w:color="auto"/>
        <w:right w:val="none" w:sz="0" w:space="0" w:color="auto"/>
      </w:divBdr>
    </w:div>
    <w:div w:id="2007318549">
      <w:bodyDiv w:val="1"/>
      <w:marLeft w:val="0"/>
      <w:marRight w:val="0"/>
      <w:marTop w:val="0"/>
      <w:marBottom w:val="0"/>
      <w:divBdr>
        <w:top w:val="none" w:sz="0" w:space="0" w:color="auto"/>
        <w:left w:val="none" w:sz="0" w:space="0" w:color="auto"/>
        <w:bottom w:val="none" w:sz="0" w:space="0" w:color="auto"/>
        <w:right w:val="none" w:sz="0" w:space="0" w:color="auto"/>
      </w:divBdr>
    </w:div>
    <w:div w:id="2007631234">
      <w:bodyDiv w:val="1"/>
      <w:marLeft w:val="0"/>
      <w:marRight w:val="0"/>
      <w:marTop w:val="0"/>
      <w:marBottom w:val="0"/>
      <w:divBdr>
        <w:top w:val="none" w:sz="0" w:space="0" w:color="auto"/>
        <w:left w:val="none" w:sz="0" w:space="0" w:color="auto"/>
        <w:bottom w:val="none" w:sz="0" w:space="0" w:color="auto"/>
        <w:right w:val="none" w:sz="0" w:space="0" w:color="auto"/>
      </w:divBdr>
    </w:div>
    <w:div w:id="2026898859">
      <w:bodyDiv w:val="1"/>
      <w:marLeft w:val="0"/>
      <w:marRight w:val="0"/>
      <w:marTop w:val="0"/>
      <w:marBottom w:val="0"/>
      <w:divBdr>
        <w:top w:val="none" w:sz="0" w:space="0" w:color="auto"/>
        <w:left w:val="none" w:sz="0" w:space="0" w:color="auto"/>
        <w:bottom w:val="none" w:sz="0" w:space="0" w:color="auto"/>
        <w:right w:val="none" w:sz="0" w:space="0" w:color="auto"/>
      </w:divBdr>
    </w:div>
    <w:div w:id="2027829452">
      <w:bodyDiv w:val="1"/>
      <w:marLeft w:val="0"/>
      <w:marRight w:val="0"/>
      <w:marTop w:val="0"/>
      <w:marBottom w:val="0"/>
      <w:divBdr>
        <w:top w:val="none" w:sz="0" w:space="0" w:color="auto"/>
        <w:left w:val="none" w:sz="0" w:space="0" w:color="auto"/>
        <w:bottom w:val="none" w:sz="0" w:space="0" w:color="auto"/>
        <w:right w:val="none" w:sz="0" w:space="0" w:color="auto"/>
      </w:divBdr>
    </w:div>
    <w:div w:id="2028409495">
      <w:bodyDiv w:val="1"/>
      <w:marLeft w:val="0"/>
      <w:marRight w:val="0"/>
      <w:marTop w:val="0"/>
      <w:marBottom w:val="0"/>
      <w:divBdr>
        <w:top w:val="none" w:sz="0" w:space="0" w:color="auto"/>
        <w:left w:val="none" w:sz="0" w:space="0" w:color="auto"/>
        <w:bottom w:val="none" w:sz="0" w:space="0" w:color="auto"/>
        <w:right w:val="none" w:sz="0" w:space="0" w:color="auto"/>
      </w:divBdr>
    </w:div>
    <w:div w:id="2030058049">
      <w:bodyDiv w:val="1"/>
      <w:marLeft w:val="0"/>
      <w:marRight w:val="0"/>
      <w:marTop w:val="0"/>
      <w:marBottom w:val="0"/>
      <w:divBdr>
        <w:top w:val="none" w:sz="0" w:space="0" w:color="auto"/>
        <w:left w:val="none" w:sz="0" w:space="0" w:color="auto"/>
        <w:bottom w:val="none" w:sz="0" w:space="0" w:color="auto"/>
        <w:right w:val="none" w:sz="0" w:space="0" w:color="auto"/>
      </w:divBdr>
    </w:div>
    <w:div w:id="2031682743">
      <w:bodyDiv w:val="1"/>
      <w:marLeft w:val="0"/>
      <w:marRight w:val="0"/>
      <w:marTop w:val="0"/>
      <w:marBottom w:val="0"/>
      <w:divBdr>
        <w:top w:val="none" w:sz="0" w:space="0" w:color="auto"/>
        <w:left w:val="none" w:sz="0" w:space="0" w:color="auto"/>
        <w:bottom w:val="none" w:sz="0" w:space="0" w:color="auto"/>
        <w:right w:val="none" w:sz="0" w:space="0" w:color="auto"/>
      </w:divBdr>
    </w:div>
    <w:div w:id="2032562128">
      <w:bodyDiv w:val="1"/>
      <w:marLeft w:val="0"/>
      <w:marRight w:val="0"/>
      <w:marTop w:val="0"/>
      <w:marBottom w:val="0"/>
      <w:divBdr>
        <w:top w:val="none" w:sz="0" w:space="0" w:color="auto"/>
        <w:left w:val="none" w:sz="0" w:space="0" w:color="auto"/>
        <w:bottom w:val="none" w:sz="0" w:space="0" w:color="auto"/>
        <w:right w:val="none" w:sz="0" w:space="0" w:color="auto"/>
      </w:divBdr>
    </w:div>
    <w:div w:id="2033728905">
      <w:bodyDiv w:val="1"/>
      <w:marLeft w:val="0"/>
      <w:marRight w:val="0"/>
      <w:marTop w:val="0"/>
      <w:marBottom w:val="0"/>
      <w:divBdr>
        <w:top w:val="none" w:sz="0" w:space="0" w:color="auto"/>
        <w:left w:val="none" w:sz="0" w:space="0" w:color="auto"/>
        <w:bottom w:val="none" w:sz="0" w:space="0" w:color="auto"/>
        <w:right w:val="none" w:sz="0" w:space="0" w:color="auto"/>
      </w:divBdr>
    </w:div>
    <w:div w:id="2034962444">
      <w:bodyDiv w:val="1"/>
      <w:marLeft w:val="0"/>
      <w:marRight w:val="0"/>
      <w:marTop w:val="0"/>
      <w:marBottom w:val="0"/>
      <w:divBdr>
        <w:top w:val="none" w:sz="0" w:space="0" w:color="auto"/>
        <w:left w:val="none" w:sz="0" w:space="0" w:color="auto"/>
        <w:bottom w:val="none" w:sz="0" w:space="0" w:color="auto"/>
        <w:right w:val="none" w:sz="0" w:space="0" w:color="auto"/>
      </w:divBdr>
    </w:div>
    <w:div w:id="2038697923">
      <w:bodyDiv w:val="1"/>
      <w:marLeft w:val="0"/>
      <w:marRight w:val="0"/>
      <w:marTop w:val="0"/>
      <w:marBottom w:val="0"/>
      <w:divBdr>
        <w:top w:val="none" w:sz="0" w:space="0" w:color="auto"/>
        <w:left w:val="none" w:sz="0" w:space="0" w:color="auto"/>
        <w:bottom w:val="none" w:sz="0" w:space="0" w:color="auto"/>
        <w:right w:val="none" w:sz="0" w:space="0" w:color="auto"/>
      </w:divBdr>
    </w:div>
    <w:div w:id="2040622205">
      <w:bodyDiv w:val="1"/>
      <w:marLeft w:val="0"/>
      <w:marRight w:val="0"/>
      <w:marTop w:val="0"/>
      <w:marBottom w:val="0"/>
      <w:divBdr>
        <w:top w:val="none" w:sz="0" w:space="0" w:color="auto"/>
        <w:left w:val="none" w:sz="0" w:space="0" w:color="auto"/>
        <w:bottom w:val="none" w:sz="0" w:space="0" w:color="auto"/>
        <w:right w:val="none" w:sz="0" w:space="0" w:color="auto"/>
      </w:divBdr>
    </w:div>
    <w:div w:id="2045904451">
      <w:bodyDiv w:val="1"/>
      <w:marLeft w:val="0"/>
      <w:marRight w:val="0"/>
      <w:marTop w:val="0"/>
      <w:marBottom w:val="0"/>
      <w:divBdr>
        <w:top w:val="none" w:sz="0" w:space="0" w:color="auto"/>
        <w:left w:val="none" w:sz="0" w:space="0" w:color="auto"/>
        <w:bottom w:val="none" w:sz="0" w:space="0" w:color="auto"/>
        <w:right w:val="none" w:sz="0" w:space="0" w:color="auto"/>
      </w:divBdr>
    </w:div>
    <w:div w:id="2060781715">
      <w:bodyDiv w:val="1"/>
      <w:marLeft w:val="0"/>
      <w:marRight w:val="0"/>
      <w:marTop w:val="0"/>
      <w:marBottom w:val="0"/>
      <w:divBdr>
        <w:top w:val="none" w:sz="0" w:space="0" w:color="auto"/>
        <w:left w:val="none" w:sz="0" w:space="0" w:color="auto"/>
        <w:bottom w:val="none" w:sz="0" w:space="0" w:color="auto"/>
        <w:right w:val="none" w:sz="0" w:space="0" w:color="auto"/>
      </w:divBdr>
    </w:div>
    <w:div w:id="2063096899">
      <w:bodyDiv w:val="1"/>
      <w:marLeft w:val="0"/>
      <w:marRight w:val="0"/>
      <w:marTop w:val="0"/>
      <w:marBottom w:val="0"/>
      <w:divBdr>
        <w:top w:val="none" w:sz="0" w:space="0" w:color="auto"/>
        <w:left w:val="none" w:sz="0" w:space="0" w:color="auto"/>
        <w:bottom w:val="none" w:sz="0" w:space="0" w:color="auto"/>
        <w:right w:val="none" w:sz="0" w:space="0" w:color="auto"/>
      </w:divBdr>
    </w:div>
    <w:div w:id="2067604679">
      <w:bodyDiv w:val="1"/>
      <w:marLeft w:val="0"/>
      <w:marRight w:val="0"/>
      <w:marTop w:val="0"/>
      <w:marBottom w:val="0"/>
      <w:divBdr>
        <w:top w:val="none" w:sz="0" w:space="0" w:color="auto"/>
        <w:left w:val="none" w:sz="0" w:space="0" w:color="auto"/>
        <w:bottom w:val="none" w:sz="0" w:space="0" w:color="auto"/>
        <w:right w:val="none" w:sz="0" w:space="0" w:color="auto"/>
      </w:divBdr>
    </w:div>
    <w:div w:id="2076320131">
      <w:bodyDiv w:val="1"/>
      <w:marLeft w:val="0"/>
      <w:marRight w:val="0"/>
      <w:marTop w:val="0"/>
      <w:marBottom w:val="0"/>
      <w:divBdr>
        <w:top w:val="none" w:sz="0" w:space="0" w:color="auto"/>
        <w:left w:val="none" w:sz="0" w:space="0" w:color="auto"/>
        <w:bottom w:val="none" w:sz="0" w:space="0" w:color="auto"/>
        <w:right w:val="none" w:sz="0" w:space="0" w:color="auto"/>
      </w:divBdr>
    </w:div>
    <w:div w:id="2111928274">
      <w:bodyDiv w:val="1"/>
      <w:marLeft w:val="0"/>
      <w:marRight w:val="0"/>
      <w:marTop w:val="0"/>
      <w:marBottom w:val="0"/>
      <w:divBdr>
        <w:top w:val="none" w:sz="0" w:space="0" w:color="auto"/>
        <w:left w:val="none" w:sz="0" w:space="0" w:color="auto"/>
        <w:bottom w:val="none" w:sz="0" w:space="0" w:color="auto"/>
        <w:right w:val="none" w:sz="0" w:space="0" w:color="auto"/>
      </w:divBdr>
    </w:div>
    <w:div w:id="2112817391">
      <w:bodyDiv w:val="1"/>
      <w:marLeft w:val="0"/>
      <w:marRight w:val="0"/>
      <w:marTop w:val="0"/>
      <w:marBottom w:val="0"/>
      <w:divBdr>
        <w:top w:val="none" w:sz="0" w:space="0" w:color="auto"/>
        <w:left w:val="none" w:sz="0" w:space="0" w:color="auto"/>
        <w:bottom w:val="none" w:sz="0" w:space="0" w:color="auto"/>
        <w:right w:val="none" w:sz="0" w:space="0" w:color="auto"/>
      </w:divBdr>
    </w:div>
    <w:div w:id="2118601850">
      <w:bodyDiv w:val="1"/>
      <w:marLeft w:val="0"/>
      <w:marRight w:val="0"/>
      <w:marTop w:val="0"/>
      <w:marBottom w:val="0"/>
      <w:divBdr>
        <w:top w:val="none" w:sz="0" w:space="0" w:color="auto"/>
        <w:left w:val="none" w:sz="0" w:space="0" w:color="auto"/>
        <w:bottom w:val="none" w:sz="0" w:space="0" w:color="auto"/>
        <w:right w:val="none" w:sz="0" w:space="0" w:color="auto"/>
      </w:divBdr>
    </w:div>
    <w:div w:id="2119830156">
      <w:bodyDiv w:val="1"/>
      <w:marLeft w:val="0"/>
      <w:marRight w:val="0"/>
      <w:marTop w:val="0"/>
      <w:marBottom w:val="0"/>
      <w:divBdr>
        <w:top w:val="none" w:sz="0" w:space="0" w:color="auto"/>
        <w:left w:val="none" w:sz="0" w:space="0" w:color="auto"/>
        <w:bottom w:val="none" w:sz="0" w:space="0" w:color="auto"/>
        <w:right w:val="none" w:sz="0" w:space="0" w:color="auto"/>
      </w:divBdr>
    </w:div>
    <w:div w:id="2120444499">
      <w:bodyDiv w:val="1"/>
      <w:marLeft w:val="0"/>
      <w:marRight w:val="0"/>
      <w:marTop w:val="0"/>
      <w:marBottom w:val="0"/>
      <w:divBdr>
        <w:top w:val="none" w:sz="0" w:space="0" w:color="auto"/>
        <w:left w:val="none" w:sz="0" w:space="0" w:color="auto"/>
        <w:bottom w:val="none" w:sz="0" w:space="0" w:color="auto"/>
        <w:right w:val="none" w:sz="0" w:space="0" w:color="auto"/>
      </w:divBdr>
    </w:div>
    <w:div w:id="2123525019">
      <w:bodyDiv w:val="1"/>
      <w:marLeft w:val="0"/>
      <w:marRight w:val="0"/>
      <w:marTop w:val="0"/>
      <w:marBottom w:val="0"/>
      <w:divBdr>
        <w:top w:val="none" w:sz="0" w:space="0" w:color="auto"/>
        <w:left w:val="none" w:sz="0" w:space="0" w:color="auto"/>
        <w:bottom w:val="none" w:sz="0" w:space="0" w:color="auto"/>
        <w:right w:val="none" w:sz="0" w:space="0" w:color="auto"/>
      </w:divBdr>
    </w:div>
    <w:div w:id="2125725992">
      <w:bodyDiv w:val="1"/>
      <w:marLeft w:val="0"/>
      <w:marRight w:val="0"/>
      <w:marTop w:val="0"/>
      <w:marBottom w:val="0"/>
      <w:divBdr>
        <w:top w:val="none" w:sz="0" w:space="0" w:color="auto"/>
        <w:left w:val="none" w:sz="0" w:space="0" w:color="auto"/>
        <w:bottom w:val="none" w:sz="0" w:space="0" w:color="auto"/>
        <w:right w:val="none" w:sz="0" w:space="0" w:color="auto"/>
      </w:divBdr>
    </w:div>
    <w:div w:id="2129083077">
      <w:bodyDiv w:val="1"/>
      <w:marLeft w:val="0"/>
      <w:marRight w:val="0"/>
      <w:marTop w:val="0"/>
      <w:marBottom w:val="0"/>
      <w:divBdr>
        <w:top w:val="none" w:sz="0" w:space="0" w:color="auto"/>
        <w:left w:val="none" w:sz="0" w:space="0" w:color="auto"/>
        <w:bottom w:val="none" w:sz="0" w:space="0" w:color="auto"/>
        <w:right w:val="none" w:sz="0" w:space="0" w:color="auto"/>
      </w:divBdr>
    </w:div>
    <w:div w:id="2132362263">
      <w:bodyDiv w:val="1"/>
      <w:marLeft w:val="0"/>
      <w:marRight w:val="0"/>
      <w:marTop w:val="0"/>
      <w:marBottom w:val="0"/>
      <w:divBdr>
        <w:top w:val="none" w:sz="0" w:space="0" w:color="auto"/>
        <w:left w:val="none" w:sz="0" w:space="0" w:color="auto"/>
        <w:bottom w:val="none" w:sz="0" w:space="0" w:color="auto"/>
        <w:right w:val="none" w:sz="0" w:space="0" w:color="auto"/>
      </w:divBdr>
    </w:div>
    <w:div w:id="2135319542">
      <w:bodyDiv w:val="1"/>
      <w:marLeft w:val="0"/>
      <w:marRight w:val="0"/>
      <w:marTop w:val="0"/>
      <w:marBottom w:val="0"/>
      <w:divBdr>
        <w:top w:val="none" w:sz="0" w:space="0" w:color="auto"/>
        <w:left w:val="none" w:sz="0" w:space="0" w:color="auto"/>
        <w:bottom w:val="none" w:sz="0" w:space="0" w:color="auto"/>
        <w:right w:val="none" w:sz="0" w:space="0" w:color="auto"/>
      </w:divBdr>
    </w:div>
    <w:div w:id="2143188036">
      <w:bodyDiv w:val="1"/>
      <w:marLeft w:val="0"/>
      <w:marRight w:val="0"/>
      <w:marTop w:val="0"/>
      <w:marBottom w:val="0"/>
      <w:divBdr>
        <w:top w:val="none" w:sz="0" w:space="0" w:color="auto"/>
        <w:left w:val="none" w:sz="0" w:space="0" w:color="auto"/>
        <w:bottom w:val="none" w:sz="0" w:space="0" w:color="auto"/>
        <w:right w:val="none" w:sz="0" w:space="0" w:color="auto"/>
      </w:divBdr>
    </w:div>
    <w:div w:id="214410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old2018.agenziacoesione.gov.it/opencms/export/sites/dps/it/documentazione/Aree_interne/Nota_metodologica_Aree_interne.pdf" TargetMode="External"/><Relationship Id="rId1" Type="http://schemas.openxmlformats.org/officeDocument/2006/relationships/hyperlink" Target="https://www.istat.it/it/archivio/2516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Foglio_di_lavoro_di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oglio_di_lavoro_di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ministratore\Downloads\17_Basilicata_Prospetti&amp;Grafici%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oglio_di_lavoro_di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oglio_di_lavoro_di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oglio_di_lavoro_di_Microsoft_Excel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b="1">
                <a:latin typeface="Arial Narrow" panose="020B0606020202030204" pitchFamily="34" charset="0"/>
              </a:rPr>
              <a:t>Maschi                                                                  Femmine</a:t>
            </a:r>
          </a:p>
        </c:rich>
      </c:tx>
      <c:layout>
        <c:manualLayout>
          <c:xMode val="edge"/>
          <c:yMode val="edge"/>
          <c:x val="0.14578921568627451"/>
          <c:y val="0.16726111111111111"/>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6.6308336740074539E-2"/>
          <c:y val="0.11794494949494949"/>
          <c:w val="0.8271728758169935"/>
          <c:h val="0.7880803866803372"/>
        </c:manualLayout>
      </c:layout>
      <c:barChart>
        <c:barDir val="bar"/>
        <c:grouping val="clustered"/>
        <c:varyColors val="0"/>
        <c:ser>
          <c:idx val="2"/>
          <c:order val="0"/>
          <c:tx>
            <c:strRef>
              <c:f>Fig_1!$A$22</c:f>
              <c:strCache>
                <c:ptCount val="1"/>
                <c:pt idx="0">
                  <c:v>Italia</c:v>
                </c:pt>
              </c:strCache>
            </c:strRef>
          </c:tx>
          <c:spPr>
            <a:solidFill>
              <a:srgbClr val="D3D3D3"/>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Fig_1!$D$22:$X$22</c:f>
              <c:numCache>
                <c:formatCode>General</c:formatCode>
                <c:ptCount val="21"/>
                <c:pt idx="0">
                  <c:v>-1.9225486274755614</c:v>
                </c:pt>
                <c:pt idx="1">
                  <c:v>-2.2385985410647367</c:v>
                </c:pt>
                <c:pt idx="2">
                  <c:v>-2.4712467692693316</c:v>
                </c:pt>
                <c:pt idx="3">
                  <c:v>-2.4930948911268178</c:v>
                </c:pt>
                <c:pt idx="4">
                  <c:v>-2.6157985487694835</c:v>
                </c:pt>
                <c:pt idx="5">
                  <c:v>-2.6441004930548142</c:v>
                </c:pt>
                <c:pt idx="6">
                  <c:v>-2.7582570141680058</c:v>
                </c:pt>
                <c:pt idx="7">
                  <c:v>-2.9501024989561708</c:v>
                </c:pt>
                <c:pt idx="8">
                  <c:v>-3.3788486782569982</c:v>
                </c:pt>
                <c:pt idx="9">
                  <c:v>-3.9324880542245331</c:v>
                </c:pt>
                <c:pt idx="10">
                  <c:v>-4.0128172947180127</c:v>
                </c:pt>
                <c:pt idx="11">
                  <c:v>-3.8171042433114351</c:v>
                </c:pt>
                <c:pt idx="12">
                  <c:v>-3.2095383950354828</c:v>
                </c:pt>
                <c:pt idx="13">
                  <c:v>-2.7904349658544176</c:v>
                </c:pt>
                <c:pt idx="14">
                  <c:v>-2.7171048223491265</c:v>
                </c:pt>
                <c:pt idx="15">
                  <c:v>-1.9255687395141212</c:v>
                </c:pt>
                <c:pt idx="16">
                  <c:v>-1.609012378964874</c:v>
                </c:pt>
                <c:pt idx="17">
                  <c:v>-0.86638387906397729</c:v>
                </c:pt>
                <c:pt idx="18">
                  <c:v>-0.31432461761186525</c:v>
                </c:pt>
                <c:pt idx="19">
                  <c:v>-5.8528387018933835E-2</c:v>
                </c:pt>
                <c:pt idx="20">
                  <c:v>-4.8061816510788762E-3</c:v>
                </c:pt>
              </c:numCache>
            </c:numRef>
          </c:val>
          <c:extLst>
            <c:ext xmlns:c16="http://schemas.microsoft.com/office/drawing/2014/chart" uri="{C3380CC4-5D6E-409C-BE32-E72D297353CC}">
              <c16:uniqueId val="{00000000-B568-4A0E-A3D3-2900608D98C7}"/>
            </c:ext>
          </c:extLst>
        </c:ser>
        <c:ser>
          <c:idx val="0"/>
          <c:order val="1"/>
          <c:tx>
            <c:strRef>
              <c:f>Fig_1!$A$24</c:f>
              <c:strCache>
                <c:ptCount val="1"/>
                <c:pt idx="0">
                  <c:v>Basilicata</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Fig_1!$D$24:$X$24</c:f>
              <c:numCache>
                <c:formatCode>General</c:formatCode>
                <c:ptCount val="21"/>
                <c:pt idx="0">
                  <c:v>-1.7843450186194119</c:v>
                </c:pt>
                <c:pt idx="1">
                  <c:v>-1.9753086419753085</c:v>
                </c:pt>
                <c:pt idx="2">
                  <c:v>-2.2772549667051898</c:v>
                </c:pt>
                <c:pt idx="3">
                  <c:v>-2.5307724762900592</c:v>
                </c:pt>
                <c:pt idx="4">
                  <c:v>-2.7879588355071268</c:v>
                </c:pt>
                <c:pt idx="5">
                  <c:v>-2.8675728725258196</c:v>
                </c:pt>
                <c:pt idx="6">
                  <c:v>-2.9728688569698973</c:v>
                </c:pt>
                <c:pt idx="7">
                  <c:v>-2.9963494946159628</c:v>
                </c:pt>
                <c:pt idx="8">
                  <c:v>-3.2858217305963713</c:v>
                </c:pt>
                <c:pt idx="9">
                  <c:v>-3.677287986351879</c:v>
                </c:pt>
                <c:pt idx="10">
                  <c:v>-3.8878799552400345</c:v>
                </c:pt>
                <c:pt idx="11">
                  <c:v>-3.9443802395758807</c:v>
                </c:pt>
                <c:pt idx="12">
                  <c:v>-3.4514702914901032</c:v>
                </c:pt>
                <c:pt idx="13">
                  <c:v>-3.0634894428851833</c:v>
                </c:pt>
                <c:pt idx="14">
                  <c:v>-2.8074037385577753</c:v>
                </c:pt>
                <c:pt idx="15">
                  <c:v>-1.7128024507915542</c:v>
                </c:pt>
                <c:pt idx="16">
                  <c:v>-1.6634564232384936</c:v>
                </c:pt>
                <c:pt idx="17">
                  <c:v>-1.0021462770348357</c:v>
                </c:pt>
                <c:pt idx="18">
                  <c:v>-0.38651330875204076</c:v>
                </c:pt>
                <c:pt idx="19">
                  <c:v>-7.906370957386312E-2</c:v>
                </c:pt>
                <c:pt idx="20">
                  <c:v>-6.4204868563461932E-3</c:v>
                </c:pt>
              </c:numCache>
            </c:numRef>
          </c:val>
          <c:extLst>
            <c:ext xmlns:c16="http://schemas.microsoft.com/office/drawing/2014/chart" uri="{C3380CC4-5D6E-409C-BE32-E72D297353CC}">
              <c16:uniqueId val="{00000001-B568-4A0E-A3D3-2900608D98C7}"/>
            </c:ext>
          </c:extLst>
        </c:ser>
        <c:ser>
          <c:idx val="3"/>
          <c:order val="2"/>
          <c:tx>
            <c:strRef>
              <c:f>Fig_1!$A$23</c:f>
              <c:strCache>
                <c:ptCount val="1"/>
                <c:pt idx="0">
                  <c:v>Italia</c:v>
                </c:pt>
              </c:strCache>
            </c:strRef>
          </c:tx>
          <c:spPr>
            <a:solidFill>
              <a:srgbClr val="D3D3D3"/>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Fig_1!$D$23:$X$23</c:f>
              <c:numCache>
                <c:formatCode>General</c:formatCode>
                <c:ptCount val="21"/>
                <c:pt idx="0">
                  <c:v>1.8192672107516394</c:v>
                </c:pt>
                <c:pt idx="1">
                  <c:v>2.1140429757047432</c:v>
                </c:pt>
                <c:pt idx="2">
                  <c:v>2.3259792113989461</c:v>
                </c:pt>
                <c:pt idx="3">
                  <c:v>2.3299902713227127</c:v>
                </c:pt>
                <c:pt idx="4">
                  <c:v>2.3766542942237039</c:v>
                </c:pt>
                <c:pt idx="5">
                  <c:v>2.497313594304214</c:v>
                </c:pt>
                <c:pt idx="6">
                  <c:v>2.6879824339884792</c:v>
                </c:pt>
                <c:pt idx="7">
                  <c:v>2.9301721229208222</c:v>
                </c:pt>
                <c:pt idx="8">
                  <c:v>3.3882449575228581</c:v>
                </c:pt>
                <c:pt idx="9">
                  <c:v>3.9891881677176091</c:v>
                </c:pt>
                <c:pt idx="10">
                  <c:v>4.1201722331574437</c:v>
                </c:pt>
                <c:pt idx="11">
                  <c:v>3.9888724824458306</c:v>
                </c:pt>
                <c:pt idx="12">
                  <c:v>3.4520893494660103</c:v>
                </c:pt>
                <c:pt idx="13">
                  <c:v>3.0747829878996482</c:v>
                </c:pt>
                <c:pt idx="14">
                  <c:v>3.0921304844386324</c:v>
                </c:pt>
                <c:pt idx="15">
                  <c:v>2.3745204643652693</c:v>
                </c:pt>
                <c:pt idx="16">
                  <c:v>2.2365457427199136</c:v>
                </c:pt>
                <c:pt idx="17">
                  <c:v>1.4904548337686612</c:v>
                </c:pt>
                <c:pt idx="18">
                  <c:v>0.74863664900387872</c:v>
                </c:pt>
                <c:pt idx="19">
                  <c:v>0.20806022829312196</c:v>
                </c:pt>
                <c:pt idx="20">
                  <c:v>2.41912831260837E-2</c:v>
                </c:pt>
              </c:numCache>
            </c:numRef>
          </c:val>
          <c:extLst>
            <c:ext xmlns:c16="http://schemas.microsoft.com/office/drawing/2014/chart" uri="{C3380CC4-5D6E-409C-BE32-E72D297353CC}">
              <c16:uniqueId val="{00000002-B568-4A0E-A3D3-2900608D98C7}"/>
            </c:ext>
          </c:extLst>
        </c:ser>
        <c:ser>
          <c:idx val="1"/>
          <c:order val="3"/>
          <c:tx>
            <c:strRef>
              <c:f>Fig_1!$A$25</c:f>
              <c:strCache>
                <c:ptCount val="1"/>
                <c:pt idx="0">
                  <c:v>Basilicata</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Fig_1!$D$25:$X$25</c:f>
              <c:numCache>
                <c:formatCode>General</c:formatCode>
                <c:ptCount val="21"/>
                <c:pt idx="0">
                  <c:v>1.6546511841212186</c:v>
                </c:pt>
                <c:pt idx="1">
                  <c:v>1.8599233210426871</c:v>
                </c:pt>
                <c:pt idx="2">
                  <c:v>2.1033514941390128</c:v>
                </c:pt>
                <c:pt idx="3">
                  <c:v>2.3509988443123659</c:v>
                </c:pt>
                <c:pt idx="4">
                  <c:v>2.4583126960541524</c:v>
                </c:pt>
                <c:pt idx="5">
                  <c:v>2.668170895015868</c:v>
                </c:pt>
                <c:pt idx="6">
                  <c:v>2.742648542549484</c:v>
                </c:pt>
                <c:pt idx="7">
                  <c:v>2.8901362977638363</c:v>
                </c:pt>
                <c:pt idx="8">
                  <c:v>3.1983196668684535</c:v>
                </c:pt>
                <c:pt idx="9">
                  <c:v>3.7350723680589946</c:v>
                </c:pt>
                <c:pt idx="10">
                  <c:v>4.0353677104543868</c:v>
                </c:pt>
                <c:pt idx="11">
                  <c:v>4.0812283308568595</c:v>
                </c:pt>
                <c:pt idx="12">
                  <c:v>3.7026030488140447</c:v>
                </c:pt>
                <c:pt idx="13">
                  <c:v>3.2562874910571789</c:v>
                </c:pt>
                <c:pt idx="14">
                  <c:v>3.0732118944105076</c:v>
                </c:pt>
                <c:pt idx="15">
                  <c:v>2.0903270779447105</c:v>
                </c:pt>
                <c:pt idx="16">
                  <c:v>2.2761543118155303</c:v>
                </c:pt>
                <c:pt idx="17">
                  <c:v>1.6390585731843779</c:v>
                </c:pt>
                <c:pt idx="18">
                  <c:v>0.79283840551794982</c:v>
                </c:pt>
                <c:pt idx="19">
                  <c:v>0.20692311925595727</c:v>
                </c:pt>
                <c:pt idx="20">
                  <c:v>2.3847522609285857E-2</c:v>
                </c:pt>
              </c:numCache>
            </c:numRef>
          </c:val>
          <c:extLst>
            <c:ext xmlns:c16="http://schemas.microsoft.com/office/drawing/2014/chart" uri="{C3380CC4-5D6E-409C-BE32-E72D297353CC}">
              <c16:uniqueId val="{00000003-B568-4A0E-A3D3-2900608D98C7}"/>
            </c:ext>
          </c:extLst>
        </c:ser>
        <c:dLbls>
          <c:showLegendKey val="0"/>
          <c:showVal val="0"/>
          <c:showCatName val="0"/>
          <c:showSerName val="0"/>
          <c:showPercent val="0"/>
          <c:showBubbleSize val="0"/>
        </c:dLbls>
        <c:gapWidth val="0"/>
        <c:overlap val="100"/>
        <c:axId val="240193216"/>
        <c:axId val="240193776"/>
      </c:barChart>
      <c:catAx>
        <c:axId val="240193216"/>
        <c:scaling>
          <c:orientation val="minMax"/>
        </c:scaling>
        <c:delete val="0"/>
        <c:axPos val="l"/>
        <c:numFmt formatCode="General" sourceLinked="1"/>
        <c:majorTickMark val="none"/>
        <c:minorTickMark val="none"/>
        <c:tickLblPos val="low"/>
        <c:spPr>
          <a:noFill/>
          <a:ln w="9525" cap="flat" cmpd="sng" algn="ctr">
            <a:solidFill>
              <a:srgbClr val="5A5A5A"/>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193776"/>
        <c:crosses val="autoZero"/>
        <c:auto val="1"/>
        <c:lblAlgn val="ctr"/>
        <c:lblOffset val="100"/>
        <c:noMultiLvlLbl val="0"/>
      </c:catAx>
      <c:valAx>
        <c:axId val="240193776"/>
        <c:scaling>
          <c:orientation val="minMax"/>
          <c:max val="5"/>
          <c:min val="-5"/>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193216"/>
        <c:crosses val="autoZero"/>
        <c:crossBetween val="between"/>
        <c:majorUnit val="2"/>
        <c:minorUnit val="1"/>
      </c:valAx>
      <c:spPr>
        <a:noFill/>
        <a:ln>
          <a:noFill/>
        </a:ln>
        <a:effectLst/>
      </c:spPr>
    </c:plotArea>
    <c:legend>
      <c:legendPos val="t"/>
      <c:legendEntry>
        <c:idx val="2"/>
        <c:delete val="1"/>
      </c:legendEntry>
      <c:legendEntry>
        <c:idx val="3"/>
        <c:delete val="1"/>
      </c:legendEntry>
      <c:layout>
        <c:manualLayout>
          <c:xMode val="edge"/>
          <c:yMode val="edge"/>
          <c:x val="0.3923153594771242"/>
          <c:y val="1.3982828282828281E-2"/>
          <c:w val="0.29007483660130717"/>
          <c:h val="9.60156565656565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3574420747077"/>
          <c:y val="0.12935185185185186"/>
          <c:w val="0.75220065359477128"/>
          <c:h val="0.77395092592592596"/>
        </c:manualLayout>
      </c:layout>
      <c:barChart>
        <c:barDir val="bar"/>
        <c:grouping val="clustered"/>
        <c:varyColors val="0"/>
        <c:ser>
          <c:idx val="0"/>
          <c:order val="0"/>
          <c:tx>
            <c:strRef>
              <c:f>Fig_2!$B$21</c:f>
              <c:strCache>
                <c:ptCount val="1"/>
                <c:pt idx="0">
                  <c:v>Stranieri</c:v>
                </c:pt>
              </c:strCache>
            </c:strRef>
          </c:tx>
          <c:spPr>
            <a:solidFill>
              <a:srgbClr val="D3D3D3"/>
            </a:solidFill>
            <a:ln w="6350">
              <a:solidFill>
                <a:srgbClr val="A5A5A5"/>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Fig_2!$D$21:$N$21</c:f>
              <c:numCache>
                <c:formatCode>0.0</c:formatCode>
                <c:ptCount val="11"/>
                <c:pt idx="0">
                  <c:v>-5.551769569760574</c:v>
                </c:pt>
                <c:pt idx="1">
                  <c:v>-5.4291036300031799</c:v>
                </c:pt>
                <c:pt idx="2">
                  <c:v>-12.684566807505337</c:v>
                </c:pt>
                <c:pt idx="3">
                  <c:v>-12.693653173413294</c:v>
                </c:pt>
                <c:pt idx="4">
                  <c:v>-8.1368406705738039</c:v>
                </c:pt>
                <c:pt idx="5">
                  <c:v>-4.2024442324292401</c:v>
                </c:pt>
                <c:pt idx="6">
                  <c:v>-1.5128799236745265</c:v>
                </c:pt>
                <c:pt idx="7">
                  <c:v>-0.44523192948980062</c:v>
                </c:pt>
                <c:pt idx="8">
                  <c:v>-8.6320476125573573E-2</c:v>
                </c:pt>
                <c:pt idx="9">
                  <c:v>-9.0863659079551129E-3</c:v>
                </c:pt>
                <c:pt idx="10">
                  <c:v>0</c:v>
                </c:pt>
              </c:numCache>
            </c:numRef>
          </c:val>
          <c:extLst>
            <c:ext xmlns:c16="http://schemas.microsoft.com/office/drawing/2014/chart" uri="{C3380CC4-5D6E-409C-BE32-E72D297353CC}">
              <c16:uniqueId val="{00000000-816B-4A32-B328-A4BE323B1183}"/>
            </c:ext>
          </c:extLst>
        </c:ser>
        <c:ser>
          <c:idx val="2"/>
          <c:order val="1"/>
          <c:tx>
            <c:strRef>
              <c:f>Fig_2!$B$22</c:f>
              <c:strCache>
                <c:ptCount val="1"/>
                <c:pt idx="0">
                  <c:v>Stranieri</c:v>
                </c:pt>
              </c:strCache>
            </c:strRef>
          </c:tx>
          <c:spPr>
            <a:solidFill>
              <a:srgbClr val="D3D3D3"/>
            </a:solidFill>
            <a:ln w="6350">
              <a:solidFill>
                <a:srgbClr val="A5A5A5"/>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Fig_2!$D$22:$N$22</c:f>
              <c:numCache>
                <c:formatCode>0.0</c:formatCode>
                <c:ptCount val="11"/>
                <c:pt idx="0">
                  <c:v>5.4336468129571571</c:v>
                </c:pt>
                <c:pt idx="1">
                  <c:v>4.1842715006133302</c:v>
                </c:pt>
                <c:pt idx="2">
                  <c:v>6.469492526464041</c:v>
                </c:pt>
                <c:pt idx="3">
                  <c:v>10.61741856344555</c:v>
                </c:pt>
                <c:pt idx="4">
                  <c:v>10.072236608968243</c:v>
                </c:pt>
                <c:pt idx="5">
                  <c:v>7.8188178637953758</c:v>
                </c:pt>
                <c:pt idx="6">
                  <c:v>3.5663986188723822</c:v>
                </c:pt>
                <c:pt idx="7">
                  <c:v>0.90409340784153369</c:v>
                </c:pt>
                <c:pt idx="8">
                  <c:v>0.1680977692971696</c:v>
                </c:pt>
                <c:pt idx="9">
                  <c:v>1.3629548861932671E-2</c:v>
                </c:pt>
                <c:pt idx="10">
                  <c:v>0</c:v>
                </c:pt>
              </c:numCache>
            </c:numRef>
          </c:val>
          <c:extLst>
            <c:ext xmlns:c16="http://schemas.microsoft.com/office/drawing/2014/chart" uri="{C3380CC4-5D6E-409C-BE32-E72D297353CC}">
              <c16:uniqueId val="{00000001-816B-4A32-B328-A4BE323B1183}"/>
            </c:ext>
          </c:extLst>
        </c:ser>
        <c:ser>
          <c:idx val="1"/>
          <c:order val="2"/>
          <c:tx>
            <c:strRef>
              <c:f>Fig_2!$B$19</c:f>
              <c:strCache>
                <c:ptCount val="1"/>
                <c:pt idx="0">
                  <c:v>Italiani</c:v>
                </c:pt>
              </c:strCache>
            </c:strRef>
          </c:tx>
          <c:spPr>
            <a:noFill/>
            <a:ln w="6350">
              <a:solidFill>
                <a:srgbClr val="C9321F"/>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Fig_2!$D$19:$N$19</c:f>
              <c:numCache>
                <c:formatCode>0.0</c:formatCode>
                <c:ptCount val="11"/>
                <c:pt idx="0">
                  <c:v>-3.6842477524234445</c:v>
                </c:pt>
                <c:pt idx="1">
                  <c:v>-4.7818947505252156</c:v>
                </c:pt>
                <c:pt idx="2">
                  <c:v>-5.3597747357675782</c:v>
                </c:pt>
                <c:pt idx="3">
                  <c:v>-5.6862778832349807</c:v>
                </c:pt>
                <c:pt idx="4">
                  <c:v>-6.9137232637315789</c:v>
                </c:pt>
                <c:pt idx="5">
                  <c:v>-7.984990030948981</c:v>
                </c:pt>
                <c:pt idx="6">
                  <c:v>-6.7254295867670653</c:v>
                </c:pt>
                <c:pt idx="7">
                  <c:v>-4.6916667144569404</c:v>
                </c:pt>
                <c:pt idx="8">
                  <c:v>-2.774129786912729</c:v>
                </c:pt>
                <c:pt idx="9">
                  <c:v>-0.48478453277361366</c:v>
                </c:pt>
                <c:pt idx="10">
                  <c:v>-6.6906382677746372E-3</c:v>
                </c:pt>
              </c:numCache>
            </c:numRef>
          </c:val>
          <c:extLst>
            <c:ext xmlns:c16="http://schemas.microsoft.com/office/drawing/2014/chart" uri="{C3380CC4-5D6E-409C-BE32-E72D297353CC}">
              <c16:uniqueId val="{00000002-816B-4A32-B328-A4BE323B1183}"/>
            </c:ext>
          </c:extLst>
        </c:ser>
        <c:ser>
          <c:idx val="3"/>
          <c:order val="3"/>
          <c:tx>
            <c:strRef>
              <c:f>Fig_2!$B$20</c:f>
              <c:strCache>
                <c:ptCount val="1"/>
                <c:pt idx="0">
                  <c:v>Italiani</c:v>
                </c:pt>
              </c:strCache>
            </c:strRef>
          </c:tx>
          <c:spPr>
            <a:noFill/>
            <a:ln w="6350">
              <a:solidFill>
                <a:srgbClr val="C9321F"/>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Fig_2!$D$20:$N$20</c:f>
              <c:numCache>
                <c:formatCode>0.0</c:formatCode>
                <c:ptCount val="11"/>
                <c:pt idx="0">
                  <c:v>3.4338267201153085</c:v>
                </c:pt>
                <c:pt idx="1">
                  <c:v>4.4657143020995225</c:v>
                </c:pt>
                <c:pt idx="2">
                  <c:v>5.0699745182262541</c:v>
                </c:pt>
                <c:pt idx="3">
                  <c:v>5.4230490576713901</c:v>
                </c:pt>
                <c:pt idx="4">
                  <c:v>6.8013205408329656</c:v>
                </c:pt>
                <c:pt idx="5">
                  <c:v>8.1291254953461838</c:v>
                </c:pt>
                <c:pt idx="6">
                  <c:v>7.1016346185093644</c:v>
                </c:pt>
                <c:pt idx="7">
                  <c:v>5.3427613984580944</c:v>
                </c:pt>
                <c:pt idx="8">
                  <c:v>4.0728782552344693</c:v>
                </c:pt>
                <c:pt idx="9">
                  <c:v>1.0412544755590984</c:v>
                </c:pt>
                <c:pt idx="10">
                  <c:v>2.4850942137448647E-2</c:v>
                </c:pt>
              </c:numCache>
            </c:numRef>
          </c:val>
          <c:extLst>
            <c:ext xmlns:c16="http://schemas.microsoft.com/office/drawing/2014/chart" uri="{C3380CC4-5D6E-409C-BE32-E72D297353CC}">
              <c16:uniqueId val="{00000003-816B-4A32-B328-A4BE323B1183}"/>
            </c:ext>
          </c:extLst>
        </c:ser>
        <c:dLbls>
          <c:showLegendKey val="0"/>
          <c:showVal val="0"/>
          <c:showCatName val="0"/>
          <c:showSerName val="0"/>
          <c:showPercent val="0"/>
          <c:showBubbleSize val="0"/>
        </c:dLbls>
        <c:gapWidth val="0"/>
        <c:overlap val="100"/>
        <c:axId val="240200496"/>
        <c:axId val="240201056"/>
      </c:barChart>
      <c:catAx>
        <c:axId val="240200496"/>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201056"/>
        <c:crosses val="autoZero"/>
        <c:auto val="1"/>
        <c:lblAlgn val="ctr"/>
        <c:lblOffset val="100"/>
        <c:noMultiLvlLbl val="0"/>
      </c:catAx>
      <c:valAx>
        <c:axId val="2402010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200496"/>
        <c:crosses val="autoZero"/>
        <c:crossBetween val="between"/>
      </c:valAx>
      <c:spPr>
        <a:noFill/>
        <a:ln w="6350">
          <a:solidFill>
            <a:schemeClr val="bg1">
              <a:lumMod val="85000"/>
            </a:schemeClr>
          </a:solidFill>
        </a:ln>
        <a:effectLst/>
      </c:spPr>
    </c:plotArea>
    <c:legend>
      <c:legendPos val="b"/>
      <c:legendEntry>
        <c:idx val="0"/>
        <c:delete val="1"/>
      </c:legendEntry>
      <c:legendEntry>
        <c:idx val="2"/>
        <c:delete val="1"/>
      </c:legendEntry>
      <c:layout>
        <c:manualLayout>
          <c:xMode val="edge"/>
          <c:yMode val="edge"/>
          <c:x val="0.18077141019624202"/>
          <c:y val="2.4158712004574846E-2"/>
          <c:w val="0.751574183006536"/>
          <c:h val="8.91943183550910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it-I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88888888888885E-2"/>
          <c:y val="0.15875"/>
          <c:w val="0.93403398692810458"/>
          <c:h val="0.69163611111111112"/>
        </c:manualLayout>
      </c:layout>
      <c:barChart>
        <c:barDir val="col"/>
        <c:grouping val="clustered"/>
        <c:varyColors val="0"/>
        <c:ser>
          <c:idx val="0"/>
          <c:order val="1"/>
          <c:tx>
            <c:strRef>
              <c:f>'Fig_3(New)'!$A$14</c:f>
              <c:strCache>
                <c:ptCount val="1"/>
                <c:pt idx="0">
                  <c:v>Basilicata</c:v>
                </c:pt>
              </c:strCache>
            </c:strRef>
          </c:tx>
          <c:spPr>
            <a:solidFill>
              <a:srgbClr val="D3D3D3"/>
            </a:solidFill>
            <a:ln>
              <a:noFill/>
            </a:ln>
            <a:effectLst/>
          </c:spPr>
          <c:invertIfNegative val="0"/>
          <c:cat>
            <c:strRef>
              <c:f>'Fig_3(New)'!$B$16:$B$25</c:f>
              <c:strCache>
                <c:ptCount val="10"/>
                <c:pt idx="0">
                  <c:v>Romania</c:v>
                </c:pt>
                <c:pt idx="1">
                  <c:v>Albania</c:v>
                </c:pt>
                <c:pt idx="2">
                  <c:v>Marocco</c:v>
                </c:pt>
                <c:pt idx="3">
                  <c:v>Cina</c:v>
                </c:pt>
                <c:pt idx="4">
                  <c:v>Nigeria</c:v>
                </c:pt>
                <c:pt idx="5">
                  <c:v>India</c:v>
                </c:pt>
                <c:pt idx="6">
                  <c:v>Ucraina</c:v>
                </c:pt>
                <c:pt idx="7">
                  <c:v>Tunisia</c:v>
                </c:pt>
                <c:pt idx="8">
                  <c:v>Pakistan</c:v>
                </c:pt>
                <c:pt idx="9">
                  <c:v>Bulgaria</c:v>
                </c:pt>
              </c:strCache>
            </c:strRef>
          </c:cat>
          <c:val>
            <c:numRef>
              <c:f>'Fig_3(New)'!$E$16:$E$25</c:f>
              <c:numCache>
                <c:formatCode>General</c:formatCode>
                <c:ptCount val="10"/>
                <c:pt idx="0">
                  <c:v>34.273772204806683</c:v>
                </c:pt>
                <c:pt idx="1">
                  <c:v>10.63559129526146</c:v>
                </c:pt>
                <c:pt idx="2">
                  <c:v>8.6002453318795151</c:v>
                </c:pt>
                <c:pt idx="3">
                  <c:v>4.5886147835173325</c:v>
                </c:pt>
                <c:pt idx="4">
                  <c:v>4.5113806732997137</c:v>
                </c:pt>
                <c:pt idx="5">
                  <c:v>4.2887647085548135</c:v>
                </c:pt>
                <c:pt idx="6">
                  <c:v>3.5209667893326064</c:v>
                </c:pt>
                <c:pt idx="7">
                  <c:v>2.5214665394575437</c:v>
                </c:pt>
                <c:pt idx="8">
                  <c:v>2.3760846849302619</c:v>
                </c:pt>
                <c:pt idx="9">
                  <c:v>2.2579619281268455</c:v>
                </c:pt>
              </c:numCache>
            </c:numRef>
          </c:val>
          <c:extLst>
            <c:ext xmlns:c16="http://schemas.microsoft.com/office/drawing/2014/chart" uri="{C3380CC4-5D6E-409C-BE32-E72D297353CC}">
              <c16:uniqueId val="{00000000-8D02-4D74-98DA-65FB0AD0B66A}"/>
            </c:ext>
          </c:extLst>
        </c:ser>
        <c:dLbls>
          <c:showLegendKey val="0"/>
          <c:showVal val="0"/>
          <c:showCatName val="0"/>
          <c:showSerName val="0"/>
          <c:showPercent val="0"/>
          <c:showBubbleSize val="0"/>
        </c:dLbls>
        <c:gapWidth val="75"/>
        <c:overlap val="-25"/>
        <c:axId val="177016592"/>
        <c:axId val="177017152"/>
      </c:barChart>
      <c:lineChart>
        <c:grouping val="standard"/>
        <c:varyColors val="0"/>
        <c:ser>
          <c:idx val="1"/>
          <c:order val="0"/>
          <c:tx>
            <c:strRef>
              <c:f>'Fig_3(New)'!$G$14</c:f>
              <c:strCache>
                <c:ptCount val="1"/>
                <c:pt idx="0">
                  <c:v>Italia</c:v>
                </c:pt>
              </c:strCache>
            </c:strRef>
          </c:tx>
          <c:spPr>
            <a:ln w="25400" cap="rnd">
              <a:noFill/>
              <a:round/>
            </a:ln>
            <a:effectLst/>
          </c:spPr>
          <c:marker>
            <c:symbol val="circle"/>
            <c:size val="7"/>
            <c:spPr>
              <a:solidFill>
                <a:srgbClr val="C00000"/>
              </a:solidFill>
              <a:ln w="12700">
                <a:noFill/>
                <a:round/>
              </a:ln>
              <a:effectLst/>
            </c:spPr>
          </c:marker>
          <c:cat>
            <c:strRef>
              <c:f>'Fig_3(New)'!$B$16:$B$25</c:f>
              <c:strCache>
                <c:ptCount val="10"/>
                <c:pt idx="0">
                  <c:v>Romania</c:v>
                </c:pt>
                <c:pt idx="1">
                  <c:v>Albania</c:v>
                </c:pt>
                <c:pt idx="2">
                  <c:v>Marocco</c:v>
                </c:pt>
                <c:pt idx="3">
                  <c:v>Cina</c:v>
                </c:pt>
                <c:pt idx="4">
                  <c:v>Nigeria</c:v>
                </c:pt>
                <c:pt idx="5">
                  <c:v>India</c:v>
                </c:pt>
                <c:pt idx="6">
                  <c:v>Ucraina</c:v>
                </c:pt>
                <c:pt idx="7">
                  <c:v>Tunisia</c:v>
                </c:pt>
                <c:pt idx="8">
                  <c:v>Pakistan</c:v>
                </c:pt>
                <c:pt idx="9">
                  <c:v>Bulgaria</c:v>
                </c:pt>
              </c:strCache>
            </c:strRef>
          </c:cat>
          <c:val>
            <c:numRef>
              <c:f>'Fig_3(New)'!$K$16:$K$25</c:f>
              <c:numCache>
                <c:formatCode>0.00</c:formatCode>
                <c:ptCount val="10"/>
                <c:pt idx="0">
                  <c:v>20.812723539964299</c:v>
                </c:pt>
                <c:pt idx="1">
                  <c:v>8.3754810133386304</c:v>
                </c:pt>
                <c:pt idx="2">
                  <c:v>8.2938088058262593</c:v>
                </c:pt>
                <c:pt idx="3">
                  <c:v>6.3902121737220403</c:v>
                </c:pt>
                <c:pt idx="4">
                  <c:v>2.3026187311650199</c:v>
                </c:pt>
                <c:pt idx="5">
                  <c:v>3.2002202674687501</c:v>
                </c:pt>
                <c:pt idx="6">
                  <c:v>4.5622164723406904</c:v>
                </c:pt>
                <c:pt idx="7">
                  <c:v>1.8833912682665199</c:v>
                </c:pt>
                <c:pt idx="8">
                  <c:v>2.6203166576886501</c:v>
                </c:pt>
                <c:pt idx="9">
                  <c:v>0.97362784310738004</c:v>
                </c:pt>
              </c:numCache>
            </c:numRef>
          </c:val>
          <c:smooth val="0"/>
          <c:extLst>
            <c:ext xmlns:c16="http://schemas.microsoft.com/office/drawing/2014/chart" uri="{C3380CC4-5D6E-409C-BE32-E72D297353CC}">
              <c16:uniqueId val="{00000001-8D02-4D74-98DA-65FB0AD0B66A}"/>
            </c:ext>
          </c:extLst>
        </c:ser>
        <c:dLbls>
          <c:showLegendKey val="0"/>
          <c:showVal val="0"/>
          <c:showCatName val="0"/>
          <c:showSerName val="0"/>
          <c:showPercent val="0"/>
          <c:showBubbleSize val="0"/>
        </c:dLbls>
        <c:marker val="1"/>
        <c:smooth val="0"/>
        <c:axId val="177016592"/>
        <c:axId val="177017152"/>
      </c:lineChart>
      <c:catAx>
        <c:axId val="17701659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177017152"/>
        <c:crosses val="autoZero"/>
        <c:auto val="1"/>
        <c:lblAlgn val="ctr"/>
        <c:lblOffset val="100"/>
        <c:noMultiLvlLbl val="0"/>
      </c:catAx>
      <c:valAx>
        <c:axId val="1770171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177016592"/>
        <c:crosses val="autoZero"/>
        <c:crossBetween val="between"/>
      </c:valAx>
      <c:spPr>
        <a:noFill/>
        <a:ln>
          <a:noFill/>
        </a:ln>
        <a:effectLst/>
      </c:spPr>
    </c:plotArea>
    <c:legend>
      <c:legendPos val="b"/>
      <c:layout>
        <c:manualLayout>
          <c:xMode val="edge"/>
          <c:yMode val="edge"/>
          <c:x val="0.39997107843137253"/>
          <c:y val="4.1800462962963039E-2"/>
          <c:w val="0.17515588235294119"/>
          <c:h val="8.801435185185185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73369589629523E-2"/>
          <c:y val="0.15499637976287448"/>
          <c:w val="0.87324448378032615"/>
          <c:h val="0.62098968232419227"/>
        </c:manualLayout>
      </c:layout>
      <c:barChart>
        <c:barDir val="col"/>
        <c:grouping val="clustered"/>
        <c:varyColors val="0"/>
        <c:ser>
          <c:idx val="1"/>
          <c:order val="1"/>
          <c:tx>
            <c:strRef>
              <c:f>Fig_4!$B$4</c:f>
              <c:strCache>
                <c:ptCount val="1"/>
                <c:pt idx="0">
                  <c:v>Maschi</c:v>
                </c:pt>
              </c:strCache>
            </c:strRef>
          </c:tx>
          <c:spPr>
            <a:solidFill>
              <a:srgbClr val="D9D9D9"/>
            </a:solidFill>
            <a:ln>
              <a:noFill/>
            </a:ln>
            <a:effectLst/>
          </c:spPr>
          <c:invertIfNegative val="0"/>
          <c:cat>
            <c:strRef>
              <c:f>Fig_4!$C$2:$G$2</c:f>
              <c:strCache>
                <c:ptCount val="5"/>
                <c:pt idx="0">
                  <c:v>Nessun titolo</c:v>
                </c:pt>
                <c:pt idx="1">
                  <c:v>Licenza elementare</c:v>
                </c:pt>
                <c:pt idx="2">
                  <c:v>Licenza  media</c:v>
                </c:pt>
                <c:pt idx="3">
                  <c:v>Secondaria II grado</c:v>
                </c:pt>
                <c:pt idx="4">
                  <c:v>Terziaria (con dottorato)</c:v>
                </c:pt>
              </c:strCache>
            </c:strRef>
          </c:cat>
          <c:val>
            <c:numRef>
              <c:f>Fig_4!$C$4:$G$4</c:f>
              <c:numCache>
                <c:formatCode>General</c:formatCode>
                <c:ptCount val="5"/>
                <c:pt idx="0">
                  <c:v>36.116084047865826</c:v>
                </c:pt>
                <c:pt idx="1">
                  <c:v>43.152381886866507</c:v>
                </c:pt>
                <c:pt idx="2">
                  <c:v>54.306603340837398</c:v>
                </c:pt>
                <c:pt idx="3">
                  <c:v>51.91700446882205</c:v>
                </c:pt>
                <c:pt idx="4">
                  <c:v>43.322925088516548</c:v>
                </c:pt>
              </c:numCache>
            </c:numRef>
          </c:val>
          <c:extLst>
            <c:ext xmlns:c16="http://schemas.microsoft.com/office/drawing/2014/chart" uri="{C3380CC4-5D6E-409C-BE32-E72D297353CC}">
              <c16:uniqueId val="{00000000-2996-4B46-8BE2-8D4DD271591C}"/>
            </c:ext>
          </c:extLst>
        </c:ser>
        <c:dLbls>
          <c:showLegendKey val="0"/>
          <c:showVal val="0"/>
          <c:showCatName val="0"/>
          <c:showSerName val="0"/>
          <c:showPercent val="0"/>
          <c:showBubbleSize val="0"/>
        </c:dLbls>
        <c:gapWidth val="90"/>
        <c:axId val="247119872"/>
        <c:axId val="247120432"/>
      </c:barChart>
      <c:scatterChart>
        <c:scatterStyle val="lineMarker"/>
        <c:varyColors val="0"/>
        <c:ser>
          <c:idx val="0"/>
          <c:order val="0"/>
          <c:tx>
            <c:strRef>
              <c:f>Fig_4!$B$3</c:f>
              <c:strCache>
                <c:ptCount val="1"/>
                <c:pt idx="0">
                  <c:v>Femmine</c:v>
                </c:pt>
              </c:strCache>
            </c:strRef>
          </c:tx>
          <c:spPr>
            <a:ln w="25400" cap="rnd">
              <a:noFill/>
              <a:round/>
            </a:ln>
            <a:effectLst/>
          </c:spPr>
          <c:marker>
            <c:symbol val="circle"/>
            <c:size val="7"/>
            <c:spPr>
              <a:solidFill>
                <a:srgbClr val="C9321F"/>
              </a:solidFill>
              <a:ln w="9525">
                <a:solidFill>
                  <a:srgbClr val="C9321F"/>
                </a:solidFill>
              </a:ln>
              <a:effectLst/>
            </c:spPr>
          </c:marker>
          <c:xVal>
            <c:strRef>
              <c:f>Fig_4!$C$2:$G$2</c:f>
              <c:strCache>
                <c:ptCount val="5"/>
                <c:pt idx="0">
                  <c:v>Nessun titolo</c:v>
                </c:pt>
                <c:pt idx="1">
                  <c:v>Licenza elementare</c:v>
                </c:pt>
                <c:pt idx="2">
                  <c:v>Licenza  media</c:v>
                </c:pt>
                <c:pt idx="3">
                  <c:v>Secondaria II grado</c:v>
                </c:pt>
                <c:pt idx="4">
                  <c:v>Terziaria (con dottorato)</c:v>
                </c:pt>
              </c:strCache>
            </c:strRef>
          </c:xVal>
          <c:yVal>
            <c:numRef>
              <c:f>Fig_4!$C$3:$G$3</c:f>
              <c:numCache>
                <c:formatCode>General</c:formatCode>
                <c:ptCount val="5"/>
                <c:pt idx="0">
                  <c:v>63.883915952134174</c:v>
                </c:pt>
                <c:pt idx="1">
                  <c:v>56.847618113133493</c:v>
                </c:pt>
                <c:pt idx="2">
                  <c:v>45.693396659162602</c:v>
                </c:pt>
                <c:pt idx="3">
                  <c:v>48.082995531177957</c:v>
                </c:pt>
                <c:pt idx="4">
                  <c:v>56.677074911483452</c:v>
                </c:pt>
              </c:numCache>
            </c:numRef>
          </c:yVal>
          <c:smooth val="0"/>
          <c:extLst>
            <c:ext xmlns:c16="http://schemas.microsoft.com/office/drawing/2014/chart" uri="{C3380CC4-5D6E-409C-BE32-E72D297353CC}">
              <c16:uniqueId val="{00000001-2996-4B46-8BE2-8D4DD271591C}"/>
            </c:ext>
          </c:extLst>
        </c:ser>
        <c:dLbls>
          <c:showLegendKey val="0"/>
          <c:showVal val="0"/>
          <c:showCatName val="0"/>
          <c:showSerName val="0"/>
          <c:showPercent val="0"/>
          <c:showBubbleSize val="0"/>
        </c:dLbls>
        <c:axId val="247119872"/>
        <c:axId val="247120432"/>
      </c:scatterChart>
      <c:catAx>
        <c:axId val="247119872"/>
        <c:scaling>
          <c:orientation val="minMax"/>
        </c:scaling>
        <c:delete val="0"/>
        <c:axPos val="b"/>
        <c:majorGridlines>
          <c:spPr>
            <a:ln w="6350"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20432"/>
        <c:crosses val="autoZero"/>
        <c:auto val="1"/>
        <c:lblAlgn val="ctr"/>
        <c:lblOffset val="100"/>
        <c:noMultiLvlLbl val="0"/>
      </c:catAx>
      <c:valAx>
        <c:axId val="247120432"/>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19872"/>
        <c:crosses val="autoZero"/>
        <c:crossBetween val="between"/>
      </c:valAx>
      <c:spPr>
        <a:noFill/>
        <a:ln>
          <a:noFill/>
        </a:ln>
        <a:effectLst/>
      </c:spPr>
    </c:plotArea>
    <c:legend>
      <c:legendPos val="t"/>
      <c:layout>
        <c:manualLayout>
          <c:xMode val="edge"/>
          <c:yMode val="edge"/>
          <c:x val="0.33663654920802344"/>
          <c:y val="2.2988505747126436E-2"/>
          <c:w val="0.32672656885563084"/>
          <c:h val="8.603086252149515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1">
          <a:solidFill>
            <a:schemeClr val="tx1">
              <a:lumMod val="75000"/>
              <a:lumOff val="25000"/>
            </a:schemeClr>
          </a:solidFill>
          <a:latin typeface="Arial Narrow" panose="020B0606020202030204" pitchFamily="34"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30339321357289E-2"/>
          <c:y val="0.15272694361480676"/>
          <c:w val="0.8715756472491909"/>
          <c:h val="0.64134944338854183"/>
        </c:manualLayout>
      </c:layout>
      <c:barChart>
        <c:barDir val="col"/>
        <c:grouping val="clustered"/>
        <c:varyColors val="0"/>
        <c:ser>
          <c:idx val="0"/>
          <c:order val="0"/>
          <c:tx>
            <c:strRef>
              <c:f>Fig_5!$B$8</c:f>
              <c:strCache>
                <c:ptCount val="1"/>
                <c:pt idx="0">
                  <c:v>Italiani</c:v>
                </c:pt>
              </c:strCache>
            </c:strRef>
          </c:tx>
          <c:spPr>
            <a:solidFill>
              <a:srgbClr val="D3D3D3"/>
            </a:solidFill>
            <a:ln w="25400">
              <a:noFill/>
            </a:ln>
            <a:effectLst/>
          </c:spPr>
          <c:invertIfNegative val="0"/>
          <c:cat>
            <c:strRef>
              <c:f>Fig_5!$C$7:$G$7</c:f>
              <c:strCache>
                <c:ptCount val="5"/>
                <c:pt idx="0">
                  <c:v>Nessun titolo</c:v>
                </c:pt>
                <c:pt idx="1">
                  <c:v>Licenza elementare</c:v>
                </c:pt>
                <c:pt idx="2">
                  <c:v>Licenza  media</c:v>
                </c:pt>
                <c:pt idx="3">
                  <c:v>Secondaria II grado</c:v>
                </c:pt>
                <c:pt idx="4">
                  <c:v>Terziaria (con dottorato)</c:v>
                </c:pt>
              </c:strCache>
            </c:strRef>
          </c:cat>
          <c:val>
            <c:numRef>
              <c:f>Fig_5!$C$8:$G$8</c:f>
              <c:numCache>
                <c:formatCode>0.0</c:formatCode>
                <c:ptCount val="5"/>
                <c:pt idx="0">
                  <c:v>6.1688013565159903</c:v>
                </c:pt>
                <c:pt idx="1">
                  <c:v>16.086794169919543</c:v>
                </c:pt>
                <c:pt idx="2">
                  <c:v>27.379055213547204</c:v>
                </c:pt>
                <c:pt idx="3">
                  <c:v>35.949714229746633</c:v>
                </c:pt>
                <c:pt idx="4">
                  <c:v>14.415635030270629</c:v>
                </c:pt>
              </c:numCache>
            </c:numRef>
          </c:val>
          <c:extLst>
            <c:ext xmlns:c16="http://schemas.microsoft.com/office/drawing/2014/chart" uri="{C3380CC4-5D6E-409C-BE32-E72D297353CC}">
              <c16:uniqueId val="{00000000-B2A7-46D4-930C-92C62C67BCB6}"/>
            </c:ext>
          </c:extLst>
        </c:ser>
        <c:dLbls>
          <c:showLegendKey val="0"/>
          <c:showVal val="0"/>
          <c:showCatName val="0"/>
          <c:showSerName val="0"/>
          <c:showPercent val="0"/>
          <c:showBubbleSize val="0"/>
        </c:dLbls>
        <c:gapWidth val="90"/>
        <c:axId val="247123792"/>
        <c:axId val="247124352"/>
      </c:barChart>
      <c:scatterChart>
        <c:scatterStyle val="lineMarker"/>
        <c:varyColors val="0"/>
        <c:ser>
          <c:idx val="1"/>
          <c:order val="1"/>
          <c:tx>
            <c:strRef>
              <c:f>Fig_5!$B$9</c:f>
              <c:strCache>
                <c:ptCount val="1"/>
                <c:pt idx="0">
                  <c:v>Stranieri</c:v>
                </c:pt>
              </c:strCache>
            </c:strRef>
          </c:tx>
          <c:spPr>
            <a:ln w="25400" cap="rnd">
              <a:noFill/>
              <a:round/>
            </a:ln>
            <a:effectLst/>
          </c:spPr>
          <c:marker>
            <c:symbol val="square"/>
            <c:size val="8"/>
            <c:spPr>
              <a:solidFill>
                <a:srgbClr val="C00000"/>
              </a:solidFill>
              <a:ln w="9525">
                <a:noFill/>
              </a:ln>
              <a:effectLst/>
            </c:spPr>
          </c:marker>
          <c:xVal>
            <c:strRef>
              <c:f>Fig_5!$C$7:$G$7</c:f>
              <c:strCache>
                <c:ptCount val="5"/>
                <c:pt idx="0">
                  <c:v>Nessun titolo</c:v>
                </c:pt>
                <c:pt idx="1">
                  <c:v>Licenza elementare</c:v>
                </c:pt>
                <c:pt idx="2">
                  <c:v>Licenza  media</c:v>
                </c:pt>
                <c:pt idx="3">
                  <c:v>Secondaria II grado</c:v>
                </c:pt>
                <c:pt idx="4">
                  <c:v>Terziaria (con dottorato)</c:v>
                </c:pt>
              </c:strCache>
            </c:strRef>
          </c:xVal>
          <c:yVal>
            <c:numRef>
              <c:f>Fig_5!$C$9:$G$9</c:f>
              <c:numCache>
                <c:formatCode>0.0</c:formatCode>
                <c:ptCount val="5"/>
                <c:pt idx="0">
                  <c:v>8.1256004449613179</c:v>
                </c:pt>
                <c:pt idx="1">
                  <c:v>13.621884006674421</c:v>
                </c:pt>
                <c:pt idx="2">
                  <c:v>38.034079991909792</c:v>
                </c:pt>
                <c:pt idx="3">
                  <c:v>34.706982858876472</c:v>
                </c:pt>
                <c:pt idx="4">
                  <c:v>5.5114526975779947</c:v>
                </c:pt>
              </c:numCache>
            </c:numRef>
          </c:yVal>
          <c:smooth val="0"/>
          <c:extLst>
            <c:ext xmlns:c16="http://schemas.microsoft.com/office/drawing/2014/chart" uri="{C3380CC4-5D6E-409C-BE32-E72D297353CC}">
              <c16:uniqueId val="{00000001-B2A7-46D4-930C-92C62C67BCB6}"/>
            </c:ext>
          </c:extLst>
        </c:ser>
        <c:dLbls>
          <c:showLegendKey val="0"/>
          <c:showVal val="0"/>
          <c:showCatName val="0"/>
          <c:showSerName val="0"/>
          <c:showPercent val="0"/>
          <c:showBubbleSize val="0"/>
        </c:dLbls>
        <c:axId val="247123792"/>
        <c:axId val="247124352"/>
      </c:scatterChart>
      <c:catAx>
        <c:axId val="247123792"/>
        <c:scaling>
          <c:orientation val="minMax"/>
        </c:scaling>
        <c:delete val="0"/>
        <c:axPos val="b"/>
        <c:majorGridlines>
          <c:spPr>
            <a:ln w="6350"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24352"/>
        <c:crosses val="autoZero"/>
        <c:auto val="1"/>
        <c:lblAlgn val="ctr"/>
        <c:lblOffset val="100"/>
        <c:noMultiLvlLbl val="0"/>
      </c:catAx>
      <c:valAx>
        <c:axId val="247124352"/>
        <c:scaling>
          <c:orientation val="minMax"/>
        </c:scaling>
        <c:delete val="0"/>
        <c:axPos val="l"/>
        <c:majorGridlines>
          <c:spPr>
            <a:ln w="6350"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23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1">
          <a:solidFill>
            <a:schemeClr val="tx1">
              <a:lumMod val="75000"/>
              <a:lumOff val="25000"/>
            </a:schemeClr>
          </a:solidFill>
          <a:latin typeface="Arial Narrow" panose="020B060602020203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1295033559697"/>
          <c:y val="0.12910703803412749"/>
          <c:w val="0.85376224433692993"/>
          <c:h val="0.77142784851122403"/>
        </c:manualLayout>
      </c:layout>
      <c:barChart>
        <c:barDir val="bar"/>
        <c:grouping val="clustered"/>
        <c:varyColors val="0"/>
        <c:ser>
          <c:idx val="2"/>
          <c:order val="2"/>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Fig_6!$A$4:$A$7</c:f>
              <c:strCache>
                <c:ptCount val="4"/>
                <c:pt idx="0">
                  <c:v>ITALIA</c:v>
                </c:pt>
                <c:pt idx="1">
                  <c:v>BASILICATA</c:v>
                </c:pt>
                <c:pt idx="2">
                  <c:v>Matera</c:v>
                </c:pt>
                <c:pt idx="3">
                  <c:v>Potenza</c:v>
                </c:pt>
              </c:strCache>
            </c:strRef>
          </c:cat>
          <c:val>
            <c:numRef>
              <c:f>Fig_6!$D$4:$D$7</c:f>
              <c:numCache>
                <c:formatCode>General</c:formatCode>
                <c:ptCount val="4"/>
                <c:pt idx="0">
                  <c:v>50.660038864221505</c:v>
                </c:pt>
                <c:pt idx="1">
                  <c:v>44.355757030224815</c:v>
                </c:pt>
                <c:pt idx="2">
                  <c:v>44.421692250055173</c:v>
                </c:pt>
                <c:pt idx="3">
                  <c:v>44.319909821680184</c:v>
                </c:pt>
              </c:numCache>
            </c:numRef>
          </c:val>
          <c:extLst>
            <c:ext xmlns:c16="http://schemas.microsoft.com/office/drawing/2014/chart" uri="{C3380CC4-5D6E-409C-BE32-E72D297353CC}">
              <c16:uniqueId val="{00000000-BC89-4FF2-96CB-9AC5A6EF1D78}"/>
            </c:ext>
          </c:extLst>
        </c:ser>
        <c:dLbls>
          <c:showLegendKey val="0"/>
          <c:showVal val="0"/>
          <c:showCatName val="0"/>
          <c:showSerName val="0"/>
          <c:showPercent val="0"/>
          <c:showBubbleSize val="0"/>
        </c:dLbls>
        <c:gapWidth val="150"/>
        <c:axId val="247128272"/>
        <c:axId val="286552544"/>
      </c:barChart>
      <c:barChart>
        <c:barDir val="bar"/>
        <c:grouping val="stacked"/>
        <c:varyColors val="0"/>
        <c:ser>
          <c:idx val="0"/>
          <c:order val="0"/>
          <c:tx>
            <c:strRef>
              <c:f>Fig_6!$B$3</c:f>
              <c:strCache>
                <c:ptCount val="1"/>
                <c:pt idx="0">
                  <c:v>Studio</c:v>
                </c:pt>
              </c:strCache>
            </c:strRef>
          </c:tx>
          <c:spPr>
            <a:solidFill>
              <a:srgbClr val="C9321F"/>
            </a:solidFill>
            <a:ln>
              <a:noFill/>
            </a:ln>
            <a:effectLst/>
          </c:spPr>
          <c:invertIfNegative val="0"/>
          <c:cat>
            <c:strRef>
              <c:f>Fig_6!$A$4:$A$7</c:f>
              <c:strCache>
                <c:ptCount val="4"/>
                <c:pt idx="0">
                  <c:v>ITALIA</c:v>
                </c:pt>
                <c:pt idx="1">
                  <c:v>BASILICATA</c:v>
                </c:pt>
                <c:pt idx="2">
                  <c:v>Matera</c:v>
                </c:pt>
                <c:pt idx="3">
                  <c:v>Potenza</c:v>
                </c:pt>
              </c:strCache>
            </c:strRef>
          </c:cat>
          <c:val>
            <c:numRef>
              <c:f>Fig_6!$B$4:$B$7</c:f>
              <c:numCache>
                <c:formatCode>General</c:formatCode>
                <c:ptCount val="4"/>
                <c:pt idx="0">
                  <c:v>16.258149025389841</c:v>
                </c:pt>
                <c:pt idx="1">
                  <c:v>14.453578284115434</c:v>
                </c:pt>
                <c:pt idx="2">
                  <c:v>14.715708765069053</c:v>
                </c:pt>
                <c:pt idx="3">
                  <c:v>14.311064980287444</c:v>
                </c:pt>
              </c:numCache>
            </c:numRef>
          </c:val>
          <c:extLst>
            <c:ext xmlns:c16="http://schemas.microsoft.com/office/drawing/2014/chart" uri="{C3380CC4-5D6E-409C-BE32-E72D297353CC}">
              <c16:uniqueId val="{00000001-BC89-4FF2-96CB-9AC5A6EF1D78}"/>
            </c:ext>
          </c:extLst>
        </c:ser>
        <c:ser>
          <c:idx val="1"/>
          <c:order val="1"/>
          <c:tx>
            <c:strRef>
              <c:f>Fig_6!$C$3</c:f>
              <c:strCache>
                <c:ptCount val="1"/>
                <c:pt idx="0">
                  <c:v>Lavoro</c:v>
                </c:pt>
              </c:strCache>
            </c:strRef>
          </c:tx>
          <c:spPr>
            <a:solidFill>
              <a:srgbClr val="A5A5A5"/>
            </a:solidFill>
            <a:ln>
              <a:noFill/>
            </a:ln>
            <a:effectLst/>
          </c:spPr>
          <c:invertIfNegative val="0"/>
          <c:cat>
            <c:strRef>
              <c:f>Fig_6!$A$4:$A$7</c:f>
              <c:strCache>
                <c:ptCount val="4"/>
                <c:pt idx="0">
                  <c:v>ITALIA</c:v>
                </c:pt>
                <c:pt idx="1">
                  <c:v>BASILICATA</c:v>
                </c:pt>
                <c:pt idx="2">
                  <c:v>Matera</c:v>
                </c:pt>
                <c:pt idx="3">
                  <c:v>Potenza</c:v>
                </c:pt>
              </c:strCache>
            </c:strRef>
          </c:cat>
          <c:val>
            <c:numRef>
              <c:f>Fig_6!$C$4:$C$7</c:f>
              <c:numCache>
                <c:formatCode>General</c:formatCode>
                <c:ptCount val="4"/>
                <c:pt idx="0">
                  <c:v>34.401889838831657</c:v>
                </c:pt>
                <c:pt idx="1">
                  <c:v>29.902178746109382</c:v>
                </c:pt>
                <c:pt idx="2">
                  <c:v>29.70598348498612</c:v>
                </c:pt>
                <c:pt idx="3">
                  <c:v>30.00884484139274</c:v>
                </c:pt>
              </c:numCache>
            </c:numRef>
          </c:val>
          <c:extLst>
            <c:ext xmlns:c16="http://schemas.microsoft.com/office/drawing/2014/chart" uri="{C3380CC4-5D6E-409C-BE32-E72D297353CC}">
              <c16:uniqueId val="{00000002-BC89-4FF2-96CB-9AC5A6EF1D78}"/>
            </c:ext>
          </c:extLst>
        </c:ser>
        <c:dLbls>
          <c:showLegendKey val="0"/>
          <c:showVal val="0"/>
          <c:showCatName val="0"/>
          <c:showSerName val="0"/>
          <c:showPercent val="0"/>
          <c:showBubbleSize val="0"/>
        </c:dLbls>
        <c:gapWidth val="90"/>
        <c:overlap val="100"/>
        <c:axId val="286553664"/>
        <c:axId val="286553104"/>
      </c:barChart>
      <c:catAx>
        <c:axId val="24712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86552544"/>
        <c:crosses val="autoZero"/>
        <c:auto val="1"/>
        <c:lblAlgn val="ctr"/>
        <c:lblOffset val="100"/>
        <c:noMultiLvlLbl val="0"/>
      </c:catAx>
      <c:valAx>
        <c:axId val="28655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7128272"/>
        <c:crosses val="autoZero"/>
        <c:crossBetween val="between"/>
      </c:valAx>
      <c:valAx>
        <c:axId val="286553104"/>
        <c:scaling>
          <c:orientation val="minMax"/>
        </c:scaling>
        <c:delete val="1"/>
        <c:axPos val="t"/>
        <c:numFmt formatCode="General" sourceLinked="1"/>
        <c:majorTickMark val="out"/>
        <c:minorTickMark val="none"/>
        <c:tickLblPos val="nextTo"/>
        <c:crossAx val="286553664"/>
        <c:crosses val="max"/>
        <c:crossBetween val="between"/>
      </c:valAx>
      <c:catAx>
        <c:axId val="286553664"/>
        <c:scaling>
          <c:orientation val="minMax"/>
        </c:scaling>
        <c:delete val="1"/>
        <c:axPos val="l"/>
        <c:numFmt formatCode="General" sourceLinked="1"/>
        <c:majorTickMark val="out"/>
        <c:minorTickMark val="none"/>
        <c:tickLblPos val="nextTo"/>
        <c:crossAx val="286553104"/>
        <c:crosses val="autoZero"/>
        <c:auto val="1"/>
        <c:lblAlgn val="ctr"/>
        <c:lblOffset val="100"/>
        <c:noMultiLvlLbl val="0"/>
      </c:catAx>
      <c:spPr>
        <a:noFill/>
        <a:ln>
          <a:noFill/>
        </a:ln>
        <a:effectLst/>
      </c:spPr>
    </c:plotArea>
    <c:legend>
      <c:legendPos val="t"/>
      <c:legendEntry>
        <c:idx val="0"/>
        <c:delete val="1"/>
      </c:legendEntry>
      <c:layout>
        <c:manualLayout>
          <c:xMode val="edge"/>
          <c:yMode val="edge"/>
          <c:x val="0.43114102961323542"/>
          <c:y val="2.570694087403599E-2"/>
          <c:w val="0.13771794077352897"/>
          <c:h val="9.620417788393417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0.33214</cdr:x>
      <cdr:y>0.1367</cdr:y>
    </cdr:from>
    <cdr:to>
      <cdr:x>0.81733</cdr:x>
      <cdr:y>0.23863</cdr:y>
    </cdr:to>
    <cdr:sp macro="" textlink="">
      <cdr:nvSpPr>
        <cdr:cNvPr id="2" name="CasellaDiTesto 1"/>
        <cdr:cNvSpPr txBox="1"/>
      </cdr:nvSpPr>
      <cdr:spPr>
        <a:xfrm xmlns:a="http://schemas.openxmlformats.org/drawingml/2006/main">
          <a:off x="955417" y="295282"/>
          <a:ext cx="1395674" cy="2201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800" b="1">
              <a:solidFill>
                <a:schemeClr val="tx1">
                  <a:lumMod val="65000"/>
                  <a:lumOff val="35000"/>
                </a:schemeClr>
              </a:solidFill>
              <a:latin typeface="Arial Narrow" panose="020B0606020202030204" pitchFamily="34" charset="0"/>
            </a:rPr>
            <a:t>Maschi                      Femmine             </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555E4-BD58-4F4C-B5C4-4A1D093E6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5489</Words>
  <Characters>31293</Characters>
  <Application>Microsoft Office Word</Application>
  <DocSecurity>0</DocSecurity>
  <Lines>260</Lines>
  <Paragraphs>73</Paragraphs>
  <ScaleCrop>false</ScaleCrop>
  <HeadingPairs>
    <vt:vector size="2" baseType="variant">
      <vt:variant>
        <vt:lpstr>Titolo</vt:lpstr>
      </vt:variant>
      <vt:variant>
        <vt:i4>1</vt:i4>
      </vt:variant>
    </vt:vector>
  </HeadingPairs>
  <TitlesOfParts>
    <vt:vector size="1" baseType="lpstr">
      <vt:lpstr>Focus Provincia di Napoli</vt:lpstr>
    </vt:vector>
  </TitlesOfParts>
  <Company>ISTAT</Company>
  <LinksUpToDate>false</LinksUpToDate>
  <CharactersWithSpaces>36709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Provincia di Napoli</dc:title>
  <dc:creator>Istat sede per la Campania</dc:creator>
  <cp:lastModifiedBy>Enza Lucia Rocca Agnese Vaccaro</cp:lastModifiedBy>
  <cp:revision>4</cp:revision>
  <cp:lastPrinted>2021-01-14T10:59:00Z</cp:lastPrinted>
  <dcterms:created xsi:type="dcterms:W3CDTF">2022-03-15T08:18:00Z</dcterms:created>
  <dcterms:modified xsi:type="dcterms:W3CDTF">2022-03-15T08:19:00Z</dcterms:modified>
</cp:coreProperties>
</file>