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drawings/drawing1.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B64E89" w14:textId="4BB71A14" w:rsidR="00954237" w:rsidRPr="005865B9" w:rsidRDefault="00C87D5A" w:rsidP="00951074">
      <w:pPr>
        <w:pStyle w:val="Testonormale"/>
        <w:ind w:left="1843"/>
        <w:rPr>
          <w:rFonts w:ascii="Arial" w:hAnsi="Arial" w:cs="Arial"/>
          <w:color w:val="595959"/>
          <w:sz w:val="36"/>
          <w:szCs w:val="36"/>
        </w:rPr>
      </w:pPr>
      <w:r w:rsidRPr="00C87D5A">
        <w:rPr>
          <w:rFonts w:ascii="Arial" w:hAnsi="Arial" w:cs="Arial"/>
          <w:noProof/>
          <w:color w:val="595959"/>
          <w:sz w:val="36"/>
          <w:szCs w:val="36"/>
        </w:rPr>
        <mc:AlternateContent>
          <mc:Choice Requires="wps">
            <w:drawing>
              <wp:anchor distT="45720" distB="45720" distL="114300" distR="114300" simplePos="0" relativeHeight="251659264" behindDoc="0" locked="0" layoutInCell="1" allowOverlap="1" wp14:anchorId="4A705AEA" wp14:editId="7165F633">
                <wp:simplePos x="0" y="0"/>
                <wp:positionH relativeFrom="column">
                  <wp:posOffset>2465609</wp:posOffset>
                </wp:positionH>
                <wp:positionV relativeFrom="paragraph">
                  <wp:posOffset>-1084747</wp:posOffset>
                </wp:positionV>
                <wp:extent cx="2360930" cy="1404620"/>
                <wp:effectExtent l="0" t="0" r="8255" b="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3DCEC9F" w14:textId="127D0135" w:rsidR="00C87D5A" w:rsidRPr="00C87D5A" w:rsidRDefault="00C87D5A" w:rsidP="00C87D5A">
                            <w:pPr>
                              <w:jc w:val="right"/>
                              <w:rPr>
                                <w:rFonts w:ascii="Arial Narrow" w:hAnsi="Arial Narrow"/>
                                <w:b/>
                                <w:color w:val="404040" w:themeColor="text1" w:themeTint="BF"/>
                              </w:rPr>
                            </w:pPr>
                            <w:r w:rsidRPr="00C87D5A">
                              <w:rPr>
                                <w:rFonts w:ascii="Arial Narrow" w:hAnsi="Arial Narrow"/>
                                <w:b/>
                                <w:color w:val="404040" w:themeColor="text1" w:themeTint="BF"/>
                              </w:rPr>
                              <w:t>23 novembre 2022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A705AEA" id="_x0000_t202" coordsize="21600,21600" o:spt="202" path="m,l,21600r21600,l21600,xe">
                <v:stroke joinstyle="miter"/>
                <v:path gradientshapeok="t" o:connecttype="rect"/>
              </v:shapetype>
              <v:shape id="Casella di testo 2" o:spid="_x0000_s1026" type="#_x0000_t202" style="position:absolute;left:0;text-align:left;margin-left:194.15pt;margin-top:-85.4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" stroked="f">
                <v:textbox style="mso-fit-shape-to-text:t">
                  <w:txbxContent>
                    <w:p w14:paraId="33DCEC9F" w14:textId="127D0135" w:rsidR="00C87D5A" w:rsidRPr="00C87D5A" w:rsidRDefault="00C87D5A" w:rsidP="00C87D5A">
                      <w:pPr>
                        <w:jc w:val="right"/>
                        <w:rPr>
                          <w:rFonts w:ascii="Arial Narrow" w:hAnsi="Arial Narrow"/>
                          <w:b/>
                          <w:color w:val="404040" w:themeColor="text1" w:themeTint="BF"/>
                        </w:rPr>
                      </w:pPr>
                      <w:bookmarkStart w:id="1" w:name="_GoBack"/>
                      <w:r w:rsidRPr="00C87D5A">
                        <w:rPr>
                          <w:rFonts w:ascii="Arial Narrow" w:hAnsi="Arial Narrow"/>
                          <w:b/>
                          <w:color w:val="404040" w:themeColor="text1" w:themeTint="BF"/>
                        </w:rPr>
                        <w:t>23 novembre 2022</w:t>
                      </w:r>
                      <w:bookmarkEnd w:id="1"/>
                    </w:p>
                  </w:txbxContent>
                </v:textbox>
              </v:shape>
            </w:pict>
          </mc:Fallback>
        </mc:AlternateContent>
      </w:r>
    </w:p>
    <w:p w14:paraId="4BEFD8A7" w14:textId="57E86CBB" w:rsidR="001373B4" w:rsidRPr="002A5316" w:rsidRDefault="00CC5138" w:rsidP="005802D5">
      <w:pPr>
        <w:pStyle w:val="Testonormale"/>
        <w:tabs>
          <w:tab w:val="left" w:pos="8001"/>
        </w:tabs>
        <w:ind w:left="1843"/>
        <w:rPr>
          <w:rFonts w:ascii="Arial Narrow" w:hAnsi="Arial Narrow" w:cs="Arial"/>
          <w:b/>
          <w:color w:val="595959"/>
          <w:sz w:val="40"/>
          <w:szCs w:val="40"/>
        </w:rPr>
      </w:pPr>
      <w:r w:rsidRPr="002A5316">
        <w:rPr>
          <w:rFonts w:ascii="Arial Narrow" w:hAnsi="Arial Narrow" w:cs="Arial"/>
          <w:b/>
          <w:color w:val="595959"/>
          <w:sz w:val="40"/>
          <w:szCs w:val="40"/>
        </w:rPr>
        <w:t xml:space="preserve">INCIDENTI STRADALI IN </w:t>
      </w:r>
      <w:r w:rsidR="00A1310C">
        <w:rPr>
          <w:rFonts w:ascii="Arial Narrow" w:hAnsi="Arial Narrow" w:cs="Arial"/>
          <w:b/>
          <w:color w:val="595959"/>
          <w:sz w:val="40"/>
          <w:szCs w:val="40"/>
        </w:rPr>
        <w:t>BASILICATA</w:t>
      </w:r>
    </w:p>
    <w:p w14:paraId="4B575450" w14:textId="56EEA590" w:rsidR="00926459" w:rsidRPr="004F14BC" w:rsidRDefault="00926459" w:rsidP="00EA3E8C">
      <w:pPr>
        <w:spacing w:after="120"/>
        <w:ind w:left="1843"/>
        <w:jc w:val="both"/>
        <w:rPr>
          <w:rFonts w:ascii="Arial" w:hAnsi="Arial" w:cs="Arial"/>
        </w:rPr>
      </w:pPr>
      <w:r w:rsidRPr="004F14BC">
        <w:rPr>
          <w:rFonts w:ascii="Arial" w:hAnsi="Arial" w:cs="Arial"/>
        </w:rPr>
        <w:t xml:space="preserve">Anno </w:t>
      </w:r>
      <w:r w:rsidR="00F81B14" w:rsidRPr="004F14BC">
        <w:rPr>
          <w:rFonts w:ascii="Arial" w:hAnsi="Arial" w:cs="Arial"/>
        </w:rPr>
        <w:t>20</w:t>
      </w:r>
      <w:r w:rsidR="00422CFD" w:rsidRPr="006D5EB7">
        <w:rPr>
          <w:rFonts w:ascii="Arial" w:hAnsi="Arial" w:cs="Arial"/>
        </w:rPr>
        <w:t>2</w:t>
      </w:r>
      <w:r w:rsidR="0058258F">
        <w:rPr>
          <w:rFonts w:ascii="Arial" w:hAnsi="Arial" w:cs="Arial"/>
        </w:rPr>
        <w:t>1</w:t>
      </w:r>
    </w:p>
    <w:p w14:paraId="704A4C23" w14:textId="77777777" w:rsidR="00A33895" w:rsidRPr="005865B9" w:rsidRDefault="00A33895" w:rsidP="00EA3E8C">
      <w:pPr>
        <w:spacing w:after="120"/>
        <w:ind w:left="1843"/>
        <w:jc w:val="both"/>
        <w:rPr>
          <w:rFonts w:ascii="Arial" w:hAnsi="Arial" w:cs="Arial"/>
          <w:sz w:val="14"/>
          <w:szCs w:val="14"/>
        </w:rPr>
      </w:pPr>
    </w:p>
    <w:p w14:paraId="6D57DB11" w14:textId="0DADF544" w:rsidR="00BE27DF" w:rsidRDefault="00BE27DF" w:rsidP="00DC417B">
      <w:pPr>
        <w:pStyle w:val="Default"/>
        <w:spacing w:after="120"/>
        <w:jc w:val="both"/>
        <w:rPr>
          <w:rFonts w:eastAsiaTheme="minorHAnsi"/>
          <w:color w:val="auto"/>
          <w:sz w:val="20"/>
          <w:szCs w:val="20"/>
          <w:lang w:eastAsia="en-US"/>
        </w:rPr>
      </w:pPr>
      <w:r w:rsidRPr="006D5EB7">
        <w:rPr>
          <w:rFonts w:eastAsiaTheme="minorHAnsi"/>
          <w:color w:val="auto"/>
          <w:sz w:val="20"/>
          <w:szCs w:val="20"/>
          <w:lang w:eastAsia="en-US"/>
        </w:rPr>
        <w:t xml:space="preserve">Nel </w:t>
      </w:r>
      <w:r w:rsidR="00F81B14" w:rsidRPr="006D5EB7">
        <w:rPr>
          <w:rFonts w:eastAsiaTheme="minorHAnsi"/>
          <w:color w:val="auto"/>
          <w:sz w:val="20"/>
          <w:szCs w:val="20"/>
          <w:lang w:eastAsia="en-US"/>
        </w:rPr>
        <w:t>20</w:t>
      </w:r>
      <w:r w:rsidR="00422CFD" w:rsidRPr="006D5EB7">
        <w:rPr>
          <w:rFonts w:eastAsiaTheme="minorHAnsi"/>
          <w:color w:val="auto"/>
          <w:sz w:val="20"/>
          <w:szCs w:val="20"/>
          <w:lang w:eastAsia="en-US"/>
        </w:rPr>
        <w:t>2</w:t>
      </w:r>
      <w:r w:rsidR="000B2114">
        <w:rPr>
          <w:rFonts w:eastAsiaTheme="minorHAnsi"/>
          <w:color w:val="auto"/>
          <w:sz w:val="20"/>
          <w:szCs w:val="20"/>
          <w:lang w:eastAsia="en-US"/>
        </w:rPr>
        <w:t>1</w:t>
      </w:r>
      <w:r w:rsidR="00F81B14" w:rsidRPr="006D5EB7">
        <w:rPr>
          <w:rFonts w:eastAsiaTheme="minorHAnsi"/>
          <w:color w:val="auto"/>
          <w:sz w:val="20"/>
          <w:szCs w:val="20"/>
          <w:lang w:eastAsia="en-US"/>
        </w:rPr>
        <w:t xml:space="preserve"> </w:t>
      </w:r>
      <w:r w:rsidRPr="006D5EB7">
        <w:rPr>
          <w:rFonts w:eastAsiaTheme="minorHAnsi"/>
          <w:color w:val="auto"/>
          <w:sz w:val="20"/>
          <w:szCs w:val="20"/>
          <w:lang w:eastAsia="en-US"/>
        </w:rPr>
        <w:t>si s</w:t>
      </w:r>
      <w:r w:rsidR="007A613A" w:rsidRPr="006D5EB7">
        <w:rPr>
          <w:rFonts w:eastAsiaTheme="minorHAnsi"/>
          <w:color w:val="auto"/>
          <w:sz w:val="20"/>
          <w:szCs w:val="20"/>
          <w:lang w:eastAsia="en-US"/>
        </w:rPr>
        <w:t xml:space="preserve">ono verificati in </w:t>
      </w:r>
      <w:r w:rsidR="00A1310C">
        <w:rPr>
          <w:rFonts w:eastAsiaTheme="minorHAnsi"/>
          <w:color w:val="auto"/>
          <w:sz w:val="20"/>
          <w:szCs w:val="20"/>
          <w:lang w:eastAsia="en-US"/>
        </w:rPr>
        <w:t>Basilicata</w:t>
      </w:r>
      <w:r w:rsidR="00857F0B" w:rsidRPr="006D5EB7">
        <w:rPr>
          <w:rFonts w:eastAsiaTheme="minorHAnsi"/>
          <w:color w:val="auto"/>
          <w:sz w:val="20"/>
          <w:szCs w:val="20"/>
          <w:lang w:eastAsia="en-US"/>
        </w:rPr>
        <w:t xml:space="preserve"> </w:t>
      </w:r>
      <w:r w:rsidR="000B2114">
        <w:rPr>
          <w:rFonts w:eastAsiaTheme="minorHAnsi"/>
          <w:color w:val="auto"/>
          <w:sz w:val="20"/>
          <w:szCs w:val="20"/>
          <w:lang w:eastAsia="en-US"/>
        </w:rPr>
        <w:t>918</w:t>
      </w:r>
      <w:r w:rsidR="009F4F76" w:rsidRPr="006D5EB7">
        <w:rPr>
          <w:rFonts w:eastAsiaTheme="minorHAnsi"/>
          <w:color w:val="auto"/>
          <w:sz w:val="20"/>
          <w:szCs w:val="20"/>
          <w:lang w:eastAsia="en-US"/>
        </w:rPr>
        <w:t xml:space="preserve"> </w:t>
      </w:r>
      <w:r w:rsidRPr="006D5EB7">
        <w:rPr>
          <w:rFonts w:eastAsiaTheme="minorHAnsi"/>
          <w:color w:val="auto"/>
          <w:sz w:val="20"/>
          <w:szCs w:val="20"/>
          <w:lang w:eastAsia="en-US"/>
        </w:rPr>
        <w:t>incidenti</w:t>
      </w:r>
      <w:r w:rsidR="001B2B56" w:rsidRPr="006D5EB7">
        <w:rPr>
          <w:rFonts w:eastAsiaTheme="minorHAnsi"/>
          <w:color w:val="auto"/>
          <w:sz w:val="20"/>
          <w:szCs w:val="20"/>
          <w:lang w:eastAsia="en-US"/>
        </w:rPr>
        <w:t xml:space="preserve"> stradali</w:t>
      </w:r>
      <w:r w:rsidRPr="006D5EB7">
        <w:rPr>
          <w:rFonts w:eastAsiaTheme="minorHAnsi"/>
          <w:color w:val="auto"/>
          <w:sz w:val="20"/>
          <w:szCs w:val="20"/>
          <w:lang w:eastAsia="en-US"/>
        </w:rPr>
        <w:t xml:space="preserve"> c</w:t>
      </w:r>
      <w:r w:rsidR="007A613A" w:rsidRPr="006D5EB7">
        <w:rPr>
          <w:rFonts w:eastAsiaTheme="minorHAnsi"/>
          <w:color w:val="auto"/>
          <w:sz w:val="20"/>
          <w:szCs w:val="20"/>
          <w:lang w:eastAsia="en-US"/>
        </w:rPr>
        <w:t xml:space="preserve">he hanno causato la morte di </w:t>
      </w:r>
      <w:r w:rsidR="000B2114">
        <w:rPr>
          <w:rFonts w:eastAsiaTheme="minorHAnsi"/>
          <w:color w:val="auto"/>
          <w:sz w:val="20"/>
          <w:szCs w:val="20"/>
          <w:lang w:eastAsia="en-US"/>
        </w:rPr>
        <w:t>36</w:t>
      </w:r>
      <w:r w:rsidR="00857F0B" w:rsidRPr="006D5EB7">
        <w:rPr>
          <w:rFonts w:eastAsiaTheme="minorHAnsi"/>
          <w:color w:val="auto"/>
          <w:sz w:val="20"/>
          <w:szCs w:val="20"/>
          <w:lang w:eastAsia="en-US"/>
        </w:rPr>
        <w:t xml:space="preserve"> </w:t>
      </w:r>
      <w:r w:rsidRPr="006D5EB7">
        <w:rPr>
          <w:rFonts w:eastAsiaTheme="minorHAnsi"/>
          <w:color w:val="auto"/>
          <w:sz w:val="20"/>
          <w:szCs w:val="20"/>
          <w:lang w:eastAsia="en-US"/>
        </w:rPr>
        <w:t xml:space="preserve">persone e il ferimento di altre </w:t>
      </w:r>
      <w:r w:rsidR="00422CFD" w:rsidRPr="006D5EB7">
        <w:rPr>
          <w:rFonts w:eastAsiaTheme="minorHAnsi"/>
          <w:color w:val="auto"/>
          <w:sz w:val="20"/>
          <w:szCs w:val="20"/>
          <w:lang w:eastAsia="en-US"/>
        </w:rPr>
        <w:t>1.</w:t>
      </w:r>
      <w:r w:rsidR="000B2114">
        <w:rPr>
          <w:rFonts w:eastAsiaTheme="minorHAnsi"/>
          <w:color w:val="auto"/>
          <w:sz w:val="20"/>
          <w:szCs w:val="20"/>
          <w:lang w:eastAsia="en-US"/>
        </w:rPr>
        <w:t>333</w:t>
      </w:r>
      <w:r w:rsidR="005802D5" w:rsidRPr="006D5EB7">
        <w:rPr>
          <w:rFonts w:eastAsiaTheme="minorHAnsi"/>
          <w:color w:val="auto"/>
          <w:sz w:val="20"/>
          <w:szCs w:val="20"/>
          <w:lang w:eastAsia="en-US"/>
        </w:rPr>
        <w:t>.</w:t>
      </w:r>
      <w:r w:rsidR="005F7ABE" w:rsidRPr="006D5EB7">
        <w:rPr>
          <w:rFonts w:eastAsiaTheme="minorHAnsi"/>
          <w:color w:val="auto"/>
          <w:sz w:val="20"/>
          <w:szCs w:val="20"/>
          <w:lang w:eastAsia="en-US"/>
        </w:rPr>
        <w:t xml:space="preserve"> </w:t>
      </w:r>
      <w:r w:rsidR="000B2114" w:rsidRPr="00290CF1">
        <w:rPr>
          <w:rFonts w:eastAsiaTheme="minorHAnsi"/>
          <w:color w:val="auto"/>
          <w:sz w:val="20"/>
          <w:szCs w:val="20"/>
          <w:lang w:eastAsia="en-US"/>
        </w:rPr>
        <w:t xml:space="preserve">L’anno 2021 è caratterizzato dalla ripresa graduale delle attività e del traffico </w:t>
      </w:r>
      <w:r w:rsidR="005C17C4">
        <w:rPr>
          <w:rFonts w:eastAsiaTheme="minorHAnsi"/>
          <w:color w:val="auto"/>
          <w:sz w:val="20"/>
          <w:szCs w:val="20"/>
          <w:lang w:eastAsia="en-US"/>
        </w:rPr>
        <w:t xml:space="preserve">stradale </w:t>
      </w:r>
      <w:r w:rsidR="000B2114" w:rsidRPr="00290CF1">
        <w:rPr>
          <w:rFonts w:eastAsiaTheme="minorHAnsi"/>
          <w:color w:val="auto"/>
          <w:sz w:val="20"/>
          <w:szCs w:val="20"/>
          <w:lang w:eastAsia="en-US"/>
        </w:rPr>
        <w:t>ma risente ancora di periodi di lockdown leggeri attuati durante l’anno e diversificati sul territorio.</w:t>
      </w:r>
      <w:r w:rsidR="000B2114">
        <w:rPr>
          <w:rFonts w:eastAsiaTheme="minorHAnsi"/>
          <w:color w:val="auto"/>
          <w:sz w:val="20"/>
          <w:szCs w:val="20"/>
          <w:lang w:eastAsia="en-US"/>
        </w:rPr>
        <w:t xml:space="preserve"> </w:t>
      </w:r>
      <w:r w:rsidR="000B2114" w:rsidRPr="00290CF1">
        <w:rPr>
          <w:rFonts w:eastAsiaTheme="minorHAnsi"/>
          <w:color w:val="auto"/>
          <w:sz w:val="20"/>
          <w:szCs w:val="20"/>
          <w:lang w:eastAsia="en-US"/>
        </w:rPr>
        <w:t>Rispetto al 2020</w:t>
      </w:r>
      <w:r w:rsidR="000B2114">
        <w:rPr>
          <w:rFonts w:eastAsiaTheme="minorHAnsi"/>
          <w:color w:val="auto"/>
          <w:sz w:val="20"/>
          <w:szCs w:val="20"/>
          <w:lang w:eastAsia="en-US"/>
        </w:rPr>
        <w:t xml:space="preserve"> aumentano gli incidenti (+35,6%)</w:t>
      </w:r>
      <w:r w:rsidR="00A04E75" w:rsidRPr="006D5EB7">
        <w:rPr>
          <w:rFonts w:eastAsiaTheme="minorHAnsi"/>
          <w:color w:val="auto"/>
          <w:sz w:val="20"/>
          <w:szCs w:val="20"/>
          <w:lang w:eastAsia="en-US"/>
        </w:rPr>
        <w:t>,</w:t>
      </w:r>
      <w:r w:rsidR="00683128" w:rsidRPr="006D5EB7">
        <w:rPr>
          <w:rFonts w:eastAsiaTheme="minorHAnsi"/>
          <w:color w:val="auto"/>
          <w:sz w:val="20"/>
          <w:szCs w:val="20"/>
          <w:lang w:eastAsia="en-US"/>
        </w:rPr>
        <w:t xml:space="preserve"> </w:t>
      </w:r>
      <w:r w:rsidR="000B2114">
        <w:rPr>
          <w:rFonts w:eastAsiaTheme="minorHAnsi"/>
          <w:color w:val="auto"/>
          <w:sz w:val="20"/>
          <w:szCs w:val="20"/>
          <w:lang w:eastAsia="en-US"/>
        </w:rPr>
        <w:t>le</w:t>
      </w:r>
      <w:r w:rsidR="00683128" w:rsidRPr="006D5EB7">
        <w:rPr>
          <w:rFonts w:eastAsiaTheme="minorHAnsi"/>
          <w:color w:val="auto"/>
          <w:sz w:val="20"/>
          <w:szCs w:val="20"/>
          <w:lang w:eastAsia="en-US"/>
        </w:rPr>
        <w:t xml:space="preserve"> </w:t>
      </w:r>
      <w:r w:rsidR="00953BB8" w:rsidRPr="006D5EB7">
        <w:rPr>
          <w:rFonts w:eastAsiaTheme="minorHAnsi"/>
          <w:color w:val="auto"/>
          <w:sz w:val="20"/>
          <w:szCs w:val="20"/>
          <w:lang w:eastAsia="en-US"/>
        </w:rPr>
        <w:t xml:space="preserve">vittime della strada </w:t>
      </w:r>
      <w:r w:rsidR="000B2114">
        <w:rPr>
          <w:rFonts w:eastAsiaTheme="minorHAnsi"/>
          <w:color w:val="auto"/>
          <w:sz w:val="20"/>
          <w:szCs w:val="20"/>
          <w:lang w:eastAsia="en-US"/>
        </w:rPr>
        <w:t>(+100,0</w:t>
      </w:r>
      <w:r w:rsidR="00953BB8" w:rsidRPr="006D5EB7">
        <w:rPr>
          <w:rFonts w:eastAsiaTheme="minorHAnsi"/>
          <w:color w:val="auto"/>
          <w:sz w:val="20"/>
          <w:szCs w:val="20"/>
          <w:lang w:eastAsia="en-US"/>
        </w:rPr>
        <w:t xml:space="preserve">%) </w:t>
      </w:r>
      <w:r w:rsidR="000B2114">
        <w:rPr>
          <w:rFonts w:eastAsiaTheme="minorHAnsi"/>
          <w:color w:val="auto"/>
          <w:sz w:val="20"/>
          <w:szCs w:val="20"/>
          <w:lang w:eastAsia="en-US"/>
        </w:rPr>
        <w:t>e i</w:t>
      </w:r>
      <w:r w:rsidR="00A04E75" w:rsidRPr="006D5EB7">
        <w:rPr>
          <w:rFonts w:eastAsiaTheme="minorHAnsi"/>
          <w:color w:val="auto"/>
          <w:sz w:val="20"/>
          <w:szCs w:val="20"/>
          <w:lang w:eastAsia="en-US"/>
        </w:rPr>
        <w:t xml:space="preserve"> fer</w:t>
      </w:r>
      <w:r w:rsidR="00683128" w:rsidRPr="006D5EB7">
        <w:rPr>
          <w:rFonts w:eastAsiaTheme="minorHAnsi"/>
          <w:color w:val="auto"/>
          <w:sz w:val="20"/>
          <w:szCs w:val="20"/>
          <w:lang w:eastAsia="en-US"/>
        </w:rPr>
        <w:t>i</w:t>
      </w:r>
      <w:r w:rsidR="00A04E75" w:rsidRPr="006D5EB7">
        <w:rPr>
          <w:rFonts w:eastAsiaTheme="minorHAnsi"/>
          <w:color w:val="auto"/>
          <w:sz w:val="20"/>
          <w:szCs w:val="20"/>
          <w:lang w:eastAsia="en-US"/>
        </w:rPr>
        <w:t>ti</w:t>
      </w:r>
      <w:r w:rsidR="009A165E" w:rsidRPr="006D5EB7">
        <w:rPr>
          <w:rFonts w:eastAsiaTheme="minorHAnsi"/>
          <w:color w:val="auto"/>
          <w:sz w:val="20"/>
          <w:szCs w:val="20"/>
          <w:lang w:eastAsia="en-US"/>
        </w:rPr>
        <w:t xml:space="preserve"> </w:t>
      </w:r>
      <w:r w:rsidR="00857F0B" w:rsidRPr="006D5EB7">
        <w:rPr>
          <w:rFonts w:eastAsiaTheme="minorHAnsi"/>
          <w:color w:val="auto"/>
          <w:sz w:val="20"/>
          <w:szCs w:val="20"/>
          <w:lang w:eastAsia="en-US"/>
        </w:rPr>
        <w:t>(</w:t>
      </w:r>
      <w:r w:rsidR="000B2114">
        <w:rPr>
          <w:rFonts w:eastAsiaTheme="minorHAnsi"/>
          <w:color w:val="auto"/>
          <w:sz w:val="20"/>
          <w:szCs w:val="20"/>
          <w:lang w:eastAsia="en-US"/>
        </w:rPr>
        <w:t>+26,2</w:t>
      </w:r>
      <w:r w:rsidR="00011552" w:rsidRPr="006D5EB7">
        <w:rPr>
          <w:rFonts w:eastAsiaTheme="minorHAnsi"/>
          <w:color w:val="auto"/>
          <w:sz w:val="20"/>
          <w:szCs w:val="20"/>
          <w:lang w:eastAsia="en-US"/>
        </w:rPr>
        <w:t>%)</w:t>
      </w:r>
      <w:r w:rsidR="00011552">
        <w:rPr>
          <w:rFonts w:eastAsiaTheme="minorHAnsi"/>
          <w:color w:val="auto"/>
          <w:sz w:val="20"/>
          <w:szCs w:val="20"/>
          <w:lang w:eastAsia="en-US"/>
        </w:rPr>
        <w:t>, con valori al di sopra di quelli registrati a</w:t>
      </w:r>
      <w:r w:rsidR="006458FF" w:rsidRPr="006458FF">
        <w:rPr>
          <w:rFonts w:eastAsiaTheme="minorHAnsi"/>
          <w:color w:val="auto"/>
          <w:sz w:val="20"/>
          <w:szCs w:val="20"/>
          <w:lang w:eastAsia="en-US"/>
        </w:rPr>
        <w:t xml:space="preserve"> </w:t>
      </w:r>
      <w:r w:rsidR="00721558" w:rsidRPr="006458FF">
        <w:rPr>
          <w:rFonts w:eastAsiaTheme="minorHAnsi"/>
          <w:color w:val="auto"/>
          <w:sz w:val="20"/>
          <w:szCs w:val="20"/>
          <w:lang w:eastAsia="en-US"/>
        </w:rPr>
        <w:t>livello nazionale</w:t>
      </w:r>
      <w:r w:rsidR="005C17C4">
        <w:rPr>
          <w:rFonts w:eastAsiaTheme="minorHAnsi"/>
          <w:color w:val="auto"/>
          <w:sz w:val="20"/>
          <w:szCs w:val="20"/>
          <w:lang w:eastAsia="en-US"/>
        </w:rPr>
        <w:t>,</w:t>
      </w:r>
      <w:r w:rsidR="00011552">
        <w:rPr>
          <w:rFonts w:eastAsiaTheme="minorHAnsi"/>
          <w:color w:val="auto"/>
          <w:sz w:val="20"/>
          <w:szCs w:val="20"/>
          <w:lang w:eastAsia="en-US"/>
        </w:rPr>
        <w:t xml:space="preserve"> dove</w:t>
      </w:r>
      <w:r w:rsidR="00721558" w:rsidRPr="006458FF">
        <w:rPr>
          <w:rFonts w:eastAsiaTheme="minorHAnsi"/>
          <w:color w:val="auto"/>
          <w:sz w:val="20"/>
          <w:szCs w:val="20"/>
          <w:lang w:eastAsia="en-US"/>
        </w:rPr>
        <w:t xml:space="preserve"> </w:t>
      </w:r>
      <w:r w:rsidR="006458FF" w:rsidRPr="006458FF">
        <w:rPr>
          <w:rFonts w:eastAsiaTheme="minorHAnsi"/>
          <w:color w:val="auto"/>
          <w:sz w:val="20"/>
          <w:szCs w:val="20"/>
          <w:lang w:eastAsia="en-US"/>
        </w:rPr>
        <w:t xml:space="preserve">gli incidenti </w:t>
      </w:r>
      <w:r w:rsidR="005C17C4">
        <w:rPr>
          <w:rFonts w:eastAsiaTheme="minorHAnsi"/>
          <w:color w:val="auto"/>
          <w:sz w:val="20"/>
          <w:szCs w:val="20"/>
          <w:lang w:eastAsia="en-US"/>
        </w:rPr>
        <w:t>sono cresciuti</w:t>
      </w:r>
      <w:r w:rsidR="00EC6882">
        <w:rPr>
          <w:rFonts w:eastAsiaTheme="minorHAnsi"/>
          <w:color w:val="auto"/>
          <w:sz w:val="20"/>
          <w:szCs w:val="20"/>
          <w:lang w:eastAsia="en-US"/>
        </w:rPr>
        <w:t xml:space="preserve"> </w:t>
      </w:r>
      <w:r w:rsidR="006458FF">
        <w:rPr>
          <w:rFonts w:eastAsiaTheme="minorHAnsi"/>
          <w:color w:val="auto"/>
          <w:sz w:val="20"/>
          <w:szCs w:val="20"/>
          <w:lang w:eastAsia="en-US"/>
        </w:rPr>
        <w:t xml:space="preserve">del </w:t>
      </w:r>
      <w:r w:rsidR="00956178">
        <w:rPr>
          <w:rFonts w:eastAsiaTheme="minorHAnsi"/>
          <w:color w:val="auto"/>
          <w:sz w:val="20"/>
          <w:szCs w:val="20"/>
          <w:lang w:eastAsia="en-US"/>
        </w:rPr>
        <w:t>28,4</w:t>
      </w:r>
      <w:r w:rsidR="00721558" w:rsidRPr="006D5EB7">
        <w:rPr>
          <w:rFonts w:eastAsiaTheme="minorHAnsi"/>
          <w:color w:val="auto"/>
          <w:sz w:val="20"/>
          <w:szCs w:val="20"/>
          <w:lang w:eastAsia="en-US"/>
        </w:rPr>
        <w:t>%</w:t>
      </w:r>
      <w:r w:rsidR="006458FF">
        <w:rPr>
          <w:rFonts w:eastAsiaTheme="minorHAnsi"/>
          <w:color w:val="auto"/>
          <w:sz w:val="20"/>
          <w:szCs w:val="20"/>
          <w:lang w:eastAsia="en-US"/>
        </w:rPr>
        <w:t xml:space="preserve">, i morti del </w:t>
      </w:r>
      <w:r w:rsidR="00956178">
        <w:rPr>
          <w:rFonts w:eastAsiaTheme="minorHAnsi"/>
          <w:color w:val="auto"/>
          <w:sz w:val="20"/>
          <w:szCs w:val="20"/>
          <w:lang w:eastAsia="en-US"/>
        </w:rPr>
        <w:t>20,0</w:t>
      </w:r>
      <w:r w:rsidR="00721558" w:rsidRPr="006D5EB7">
        <w:rPr>
          <w:rFonts w:eastAsiaTheme="minorHAnsi"/>
          <w:color w:val="auto"/>
          <w:sz w:val="20"/>
          <w:szCs w:val="20"/>
          <w:lang w:eastAsia="en-US"/>
        </w:rPr>
        <w:t>%</w:t>
      </w:r>
      <w:r w:rsidR="006458FF">
        <w:rPr>
          <w:rFonts w:eastAsiaTheme="minorHAnsi"/>
          <w:color w:val="auto"/>
          <w:sz w:val="20"/>
          <w:szCs w:val="20"/>
          <w:lang w:eastAsia="en-US"/>
        </w:rPr>
        <w:t xml:space="preserve">, i feriti del </w:t>
      </w:r>
      <w:r w:rsidR="00956178">
        <w:rPr>
          <w:rFonts w:eastAsiaTheme="minorHAnsi"/>
          <w:color w:val="auto"/>
          <w:sz w:val="20"/>
          <w:szCs w:val="20"/>
          <w:lang w:eastAsia="en-US"/>
        </w:rPr>
        <w:t>28,6</w:t>
      </w:r>
      <w:r w:rsidR="00721558" w:rsidRPr="006D5EB7">
        <w:rPr>
          <w:rFonts w:eastAsiaTheme="minorHAnsi"/>
          <w:color w:val="auto"/>
          <w:sz w:val="20"/>
          <w:szCs w:val="20"/>
          <w:lang w:eastAsia="en-US"/>
        </w:rPr>
        <w:t>%</w:t>
      </w:r>
      <w:r w:rsidR="00956178">
        <w:rPr>
          <w:rFonts w:eastAsiaTheme="minorHAnsi"/>
          <w:color w:val="auto"/>
          <w:sz w:val="20"/>
          <w:szCs w:val="20"/>
          <w:lang w:eastAsia="en-US"/>
        </w:rPr>
        <w:t xml:space="preserve"> </w:t>
      </w:r>
      <w:r w:rsidRPr="006D5EB7">
        <w:rPr>
          <w:rFonts w:eastAsiaTheme="minorHAnsi"/>
          <w:color w:val="auto"/>
          <w:sz w:val="20"/>
          <w:szCs w:val="20"/>
          <w:lang w:eastAsia="en-US"/>
        </w:rPr>
        <w:t>(Prospetto</w:t>
      </w:r>
      <w:r w:rsidR="005F7ABE" w:rsidRPr="006D5EB7">
        <w:rPr>
          <w:rFonts w:eastAsiaTheme="minorHAnsi"/>
          <w:color w:val="auto"/>
          <w:sz w:val="20"/>
          <w:szCs w:val="20"/>
          <w:lang w:eastAsia="en-US"/>
        </w:rPr>
        <w:t xml:space="preserve"> </w:t>
      </w:r>
      <w:r w:rsidRPr="006D5EB7">
        <w:rPr>
          <w:rFonts w:eastAsiaTheme="minorHAnsi"/>
          <w:color w:val="auto"/>
          <w:sz w:val="20"/>
          <w:szCs w:val="20"/>
          <w:lang w:eastAsia="en-US"/>
        </w:rPr>
        <w:t>1).</w:t>
      </w:r>
      <w:bookmarkStart w:id="0" w:name="_GoBack"/>
      <w:bookmarkEnd w:id="0"/>
    </w:p>
    <w:p w14:paraId="4DF834AF" w14:textId="77777777" w:rsidR="00DC417B" w:rsidRPr="006D5EB7" w:rsidRDefault="00DC417B" w:rsidP="001917AF">
      <w:pPr>
        <w:pStyle w:val="Default"/>
        <w:jc w:val="both"/>
        <w:rPr>
          <w:rFonts w:eastAsiaTheme="minorHAnsi"/>
          <w:color w:val="auto"/>
          <w:sz w:val="20"/>
          <w:szCs w:val="20"/>
          <w:lang w:eastAsia="en-US"/>
        </w:rPr>
      </w:pPr>
    </w:p>
    <w:p w14:paraId="56818B3B" w14:textId="0B10F9C1" w:rsidR="00D67472" w:rsidRDefault="00D67472" w:rsidP="00DC417B">
      <w:pPr>
        <w:pStyle w:val="Default"/>
        <w:jc w:val="both"/>
        <w:rPr>
          <w:rFonts w:ascii="Arial Narrow" w:hAnsi="Arial Narrow" w:cs="Calibri"/>
          <w:b/>
          <w:bCs/>
          <w:color w:val="808080"/>
          <w:sz w:val="20"/>
          <w:szCs w:val="20"/>
        </w:rPr>
      </w:pPr>
      <w:r>
        <w:rPr>
          <w:rFonts w:ascii="Arial Narrow" w:hAnsi="Arial Narrow" w:cs="Calibri"/>
          <w:b/>
          <w:bCs/>
          <w:color w:val="808080"/>
          <w:sz w:val="20"/>
          <w:szCs w:val="20"/>
        </w:rPr>
        <w:t>PROSPETTO 1. INCIDENTI STRADALI, MORTI</w:t>
      </w:r>
      <w:r w:rsidR="00E52ACE">
        <w:rPr>
          <w:rFonts w:ascii="Arial Narrow" w:hAnsi="Arial Narrow" w:cs="Calibri"/>
          <w:b/>
          <w:bCs/>
          <w:color w:val="808080"/>
          <w:sz w:val="20"/>
          <w:szCs w:val="20"/>
        </w:rPr>
        <w:t>,</w:t>
      </w:r>
      <w:r>
        <w:rPr>
          <w:rFonts w:ascii="Arial Narrow" w:hAnsi="Arial Narrow" w:cs="Calibri"/>
          <w:b/>
          <w:bCs/>
          <w:color w:val="808080"/>
          <w:sz w:val="20"/>
          <w:szCs w:val="20"/>
        </w:rPr>
        <w:t xml:space="preserve"> FERITI </w:t>
      </w:r>
      <w:r w:rsidR="00E52ACE">
        <w:rPr>
          <w:rFonts w:ascii="Arial Narrow" w:hAnsi="Arial Narrow" w:cs="Calibri"/>
          <w:b/>
          <w:bCs/>
          <w:color w:val="808080"/>
          <w:sz w:val="20"/>
          <w:szCs w:val="20"/>
        </w:rPr>
        <w:t>E TASSO DI MORTALIT</w:t>
      </w:r>
      <w:r w:rsidR="00E52ACE" w:rsidRPr="00E52ACE">
        <w:rPr>
          <w:rFonts w:ascii="Arial Narrow" w:hAnsi="Arial Narrow" w:cs="Calibri"/>
          <w:b/>
          <w:bCs/>
          <w:caps/>
          <w:color w:val="808080"/>
          <w:sz w:val="20"/>
          <w:szCs w:val="20"/>
        </w:rPr>
        <w:t>à</w:t>
      </w:r>
      <w:r w:rsidR="00E52ACE">
        <w:rPr>
          <w:rFonts w:ascii="Arial Narrow" w:hAnsi="Arial Narrow" w:cs="Calibri"/>
          <w:b/>
          <w:bCs/>
          <w:color w:val="808080"/>
          <w:sz w:val="20"/>
          <w:szCs w:val="20"/>
        </w:rPr>
        <w:t xml:space="preserve"> </w:t>
      </w:r>
      <w:r>
        <w:rPr>
          <w:rFonts w:ascii="Arial Narrow" w:hAnsi="Arial Narrow" w:cs="Calibri"/>
          <w:b/>
          <w:bCs/>
          <w:color w:val="808080"/>
          <w:sz w:val="20"/>
          <w:szCs w:val="20"/>
        </w:rPr>
        <w:t xml:space="preserve">PER PROVINCIA. </w:t>
      </w:r>
      <w:r w:rsidR="00A1310C">
        <w:rPr>
          <w:rFonts w:ascii="Arial Narrow" w:hAnsi="Arial Narrow" w:cs="Calibri"/>
          <w:b/>
          <w:bCs/>
          <w:color w:val="808080"/>
          <w:sz w:val="20"/>
          <w:szCs w:val="20"/>
        </w:rPr>
        <w:t>BASILICATA</w:t>
      </w:r>
      <w:r>
        <w:rPr>
          <w:rFonts w:ascii="Arial Narrow" w:hAnsi="Arial Narrow" w:cs="Calibri"/>
          <w:b/>
          <w:bCs/>
          <w:color w:val="808080"/>
          <w:sz w:val="20"/>
          <w:szCs w:val="20"/>
        </w:rPr>
        <w:t>.</w:t>
      </w:r>
    </w:p>
    <w:p w14:paraId="428F6184" w14:textId="75F1F027" w:rsidR="00D67472" w:rsidRDefault="00D67472" w:rsidP="007D5C04">
      <w:pPr>
        <w:pStyle w:val="Default"/>
        <w:jc w:val="both"/>
        <w:rPr>
          <w:rFonts w:ascii="Arial Narrow" w:hAnsi="Arial Narrow" w:cs="Calibri"/>
          <w:sz w:val="19"/>
          <w:szCs w:val="19"/>
        </w:rPr>
      </w:pPr>
      <w:r>
        <w:rPr>
          <w:rFonts w:ascii="Arial Narrow" w:hAnsi="Arial Narrow" w:cs="Calibri"/>
          <w:sz w:val="19"/>
          <w:szCs w:val="19"/>
        </w:rPr>
        <w:t>Anni 20</w:t>
      </w:r>
      <w:r w:rsidR="00463E60">
        <w:rPr>
          <w:rFonts w:ascii="Arial Narrow" w:hAnsi="Arial Narrow" w:cs="Calibri"/>
          <w:sz w:val="19"/>
          <w:szCs w:val="19"/>
        </w:rPr>
        <w:t>2</w:t>
      </w:r>
      <w:r w:rsidR="000B2114">
        <w:rPr>
          <w:rFonts w:ascii="Arial Narrow" w:hAnsi="Arial Narrow" w:cs="Calibri"/>
          <w:sz w:val="19"/>
          <w:szCs w:val="19"/>
        </w:rPr>
        <w:t>1</w:t>
      </w:r>
      <w:r>
        <w:rPr>
          <w:rFonts w:ascii="Arial Narrow" w:hAnsi="Arial Narrow" w:cs="Calibri"/>
          <w:sz w:val="19"/>
          <w:szCs w:val="19"/>
        </w:rPr>
        <w:t xml:space="preserve"> e 20</w:t>
      </w:r>
      <w:r w:rsidR="000B2114">
        <w:rPr>
          <w:rFonts w:ascii="Arial Narrow" w:hAnsi="Arial Narrow" w:cs="Calibri"/>
          <w:sz w:val="19"/>
          <w:szCs w:val="19"/>
        </w:rPr>
        <w:t>20</w:t>
      </w:r>
      <w:r>
        <w:rPr>
          <w:rFonts w:ascii="Arial Narrow" w:hAnsi="Arial Narrow" w:cs="Calibri"/>
          <w:sz w:val="19"/>
          <w:szCs w:val="19"/>
        </w:rPr>
        <w:t>, valori assoluti e variazioni percentuali</w:t>
      </w:r>
    </w:p>
    <w:tbl>
      <w:tblPr>
        <w:tblW w:w="10226" w:type="dxa"/>
        <w:tblCellMar>
          <w:left w:w="70" w:type="dxa"/>
          <w:right w:w="70" w:type="dxa"/>
        </w:tblCellMar>
        <w:tblLook w:val="04A0" w:firstRow="1" w:lastRow="0" w:firstColumn="1" w:lastColumn="0" w:noHBand="0" w:noVBand="1"/>
      </w:tblPr>
      <w:tblGrid>
        <w:gridCol w:w="931"/>
        <w:gridCol w:w="914"/>
        <w:gridCol w:w="904"/>
        <w:gridCol w:w="913"/>
        <w:gridCol w:w="913"/>
        <w:gridCol w:w="903"/>
        <w:gridCol w:w="913"/>
        <w:gridCol w:w="924"/>
        <w:gridCol w:w="923"/>
        <w:gridCol w:w="923"/>
        <w:gridCol w:w="919"/>
        <w:gridCol w:w="146"/>
      </w:tblGrid>
      <w:tr w:rsidR="000B2114" w14:paraId="4B764880" w14:textId="77777777" w:rsidTr="001917AF">
        <w:trPr>
          <w:gridAfter w:val="1"/>
          <w:wAfter w:w="141" w:type="dxa"/>
          <w:trHeight w:val="276"/>
        </w:trPr>
        <w:tc>
          <w:tcPr>
            <w:tcW w:w="930" w:type="dxa"/>
            <w:vMerge w:val="restart"/>
            <w:tcBorders>
              <w:top w:val="single" w:sz="4" w:space="0" w:color="auto"/>
              <w:left w:val="nil"/>
              <w:bottom w:val="single" w:sz="4" w:space="0" w:color="000000"/>
              <w:right w:val="nil"/>
            </w:tcBorders>
            <w:shd w:val="clear" w:color="auto" w:fill="auto"/>
            <w:vAlign w:val="center"/>
            <w:hideMark/>
          </w:tcPr>
          <w:p w14:paraId="2885EA53" w14:textId="77777777" w:rsidR="000B2114" w:rsidRDefault="000B2114">
            <w:pPr>
              <w:jc w:val="both"/>
              <w:rPr>
                <w:rFonts w:ascii="Arial Narrow" w:hAnsi="Arial Narrow" w:cs="Calibri"/>
                <w:b/>
                <w:bCs/>
                <w:color w:val="000000"/>
                <w:sz w:val="18"/>
                <w:szCs w:val="18"/>
              </w:rPr>
            </w:pPr>
            <w:r>
              <w:rPr>
                <w:rFonts w:ascii="Arial Narrow" w:hAnsi="Arial Narrow" w:cs="Calibri"/>
                <w:b/>
                <w:bCs/>
                <w:color w:val="000000"/>
                <w:sz w:val="18"/>
                <w:szCs w:val="18"/>
              </w:rPr>
              <w:t>PROVINCE</w:t>
            </w:r>
          </w:p>
        </w:tc>
        <w:tc>
          <w:tcPr>
            <w:tcW w:w="2734" w:type="dxa"/>
            <w:gridSpan w:val="3"/>
            <w:vMerge w:val="restart"/>
            <w:tcBorders>
              <w:top w:val="single" w:sz="4" w:space="0" w:color="auto"/>
              <w:left w:val="nil"/>
              <w:bottom w:val="single" w:sz="4" w:space="0" w:color="000000"/>
              <w:right w:val="nil"/>
            </w:tcBorders>
            <w:shd w:val="clear" w:color="000000" w:fill="D9D9D9"/>
            <w:vAlign w:val="center"/>
            <w:hideMark/>
          </w:tcPr>
          <w:p w14:paraId="347B3EA8" w14:textId="77777777" w:rsidR="000B2114" w:rsidRDefault="000B2114">
            <w:pPr>
              <w:jc w:val="center"/>
              <w:rPr>
                <w:rFonts w:ascii="Arial Narrow" w:hAnsi="Arial Narrow" w:cs="Calibri"/>
                <w:b/>
                <w:bCs/>
                <w:color w:val="000000"/>
                <w:sz w:val="18"/>
                <w:szCs w:val="18"/>
              </w:rPr>
            </w:pPr>
            <w:r>
              <w:rPr>
                <w:rFonts w:ascii="Arial Narrow" w:hAnsi="Arial Narrow" w:cs="Calibri"/>
                <w:b/>
                <w:bCs/>
                <w:color w:val="000000"/>
                <w:sz w:val="18"/>
                <w:szCs w:val="18"/>
              </w:rPr>
              <w:t>2021</w:t>
            </w:r>
          </w:p>
        </w:tc>
        <w:tc>
          <w:tcPr>
            <w:tcW w:w="2732" w:type="dxa"/>
            <w:gridSpan w:val="3"/>
            <w:vMerge w:val="restart"/>
            <w:tcBorders>
              <w:top w:val="single" w:sz="4" w:space="0" w:color="auto"/>
              <w:left w:val="nil"/>
              <w:bottom w:val="single" w:sz="4" w:space="0" w:color="000000"/>
              <w:right w:val="nil"/>
            </w:tcBorders>
            <w:shd w:val="clear" w:color="auto" w:fill="auto"/>
            <w:vAlign w:val="center"/>
            <w:hideMark/>
          </w:tcPr>
          <w:p w14:paraId="771F77F6" w14:textId="77777777" w:rsidR="000B2114" w:rsidRDefault="000B2114">
            <w:pPr>
              <w:jc w:val="center"/>
              <w:rPr>
                <w:rFonts w:ascii="Arial Narrow" w:hAnsi="Arial Narrow" w:cs="Calibri"/>
                <w:b/>
                <w:bCs/>
                <w:color w:val="000000"/>
                <w:sz w:val="18"/>
                <w:szCs w:val="18"/>
              </w:rPr>
            </w:pPr>
            <w:r>
              <w:rPr>
                <w:rFonts w:ascii="Arial Narrow" w:hAnsi="Arial Narrow" w:cs="Calibri"/>
                <w:b/>
                <w:bCs/>
                <w:color w:val="000000"/>
                <w:sz w:val="18"/>
                <w:szCs w:val="18"/>
              </w:rPr>
              <w:t>2020</w:t>
            </w:r>
          </w:p>
        </w:tc>
        <w:tc>
          <w:tcPr>
            <w:tcW w:w="924" w:type="dxa"/>
            <w:vMerge w:val="restart"/>
            <w:tcBorders>
              <w:top w:val="single" w:sz="4" w:space="0" w:color="auto"/>
              <w:left w:val="nil"/>
              <w:bottom w:val="single" w:sz="4" w:space="0" w:color="000000"/>
              <w:right w:val="nil"/>
            </w:tcBorders>
            <w:shd w:val="clear" w:color="000000" w:fill="D9D9D9"/>
            <w:hideMark/>
          </w:tcPr>
          <w:p w14:paraId="0D4A1CC5" w14:textId="1DE752F7" w:rsidR="000B2114" w:rsidRDefault="000B2114">
            <w:pPr>
              <w:jc w:val="center"/>
              <w:rPr>
                <w:rFonts w:ascii="Arial Narrow" w:hAnsi="Arial Narrow" w:cs="Calibri"/>
                <w:b/>
                <w:bCs/>
                <w:color w:val="000000"/>
                <w:sz w:val="18"/>
                <w:szCs w:val="18"/>
              </w:rPr>
            </w:pPr>
            <w:r>
              <w:rPr>
                <w:rFonts w:ascii="Arial Narrow" w:hAnsi="Arial Narrow" w:cs="Calibri"/>
                <w:b/>
                <w:bCs/>
                <w:color w:val="000000"/>
                <w:sz w:val="18"/>
                <w:szCs w:val="18"/>
              </w:rPr>
              <w:t>Morti Differenza 2021/</w:t>
            </w:r>
            <w:r w:rsidR="009A53C3">
              <w:rPr>
                <w:rFonts w:ascii="Arial Narrow" w:hAnsi="Arial Narrow" w:cs="Calibri"/>
                <w:b/>
                <w:bCs/>
                <w:color w:val="000000"/>
                <w:sz w:val="18"/>
                <w:szCs w:val="18"/>
              </w:rPr>
              <w:t>2020 (</w:t>
            </w:r>
            <w:r>
              <w:rPr>
                <w:rFonts w:ascii="Arial Narrow" w:hAnsi="Arial Narrow" w:cs="Calibri"/>
                <w:b/>
                <w:bCs/>
                <w:color w:val="000000"/>
                <w:sz w:val="18"/>
                <w:szCs w:val="18"/>
              </w:rPr>
              <w:t>valori assoluti)</w:t>
            </w:r>
          </w:p>
        </w:tc>
        <w:tc>
          <w:tcPr>
            <w:tcW w:w="923" w:type="dxa"/>
            <w:vMerge w:val="restart"/>
            <w:tcBorders>
              <w:top w:val="single" w:sz="4" w:space="0" w:color="auto"/>
              <w:left w:val="nil"/>
              <w:bottom w:val="single" w:sz="4" w:space="0" w:color="000000"/>
              <w:right w:val="nil"/>
            </w:tcBorders>
            <w:shd w:val="clear" w:color="000000" w:fill="D9D9D9"/>
            <w:hideMark/>
          </w:tcPr>
          <w:p w14:paraId="6F3E638B" w14:textId="77777777" w:rsidR="000B2114" w:rsidRDefault="000B2114">
            <w:pPr>
              <w:jc w:val="center"/>
              <w:rPr>
                <w:rFonts w:ascii="Arial Narrow" w:hAnsi="Arial Narrow" w:cs="Calibri"/>
                <w:b/>
                <w:bCs/>
                <w:color w:val="000000"/>
                <w:sz w:val="18"/>
                <w:szCs w:val="18"/>
              </w:rPr>
            </w:pPr>
            <w:r>
              <w:rPr>
                <w:rFonts w:ascii="Arial Narrow" w:hAnsi="Arial Narrow" w:cs="Calibri"/>
                <w:b/>
                <w:bCs/>
                <w:color w:val="000000"/>
                <w:sz w:val="18"/>
                <w:szCs w:val="18"/>
              </w:rPr>
              <w:t>Morti - Variazioni % 2021/2019</w:t>
            </w:r>
          </w:p>
        </w:tc>
        <w:tc>
          <w:tcPr>
            <w:tcW w:w="923" w:type="dxa"/>
            <w:vMerge w:val="restart"/>
            <w:tcBorders>
              <w:top w:val="single" w:sz="4" w:space="0" w:color="auto"/>
              <w:left w:val="nil"/>
              <w:bottom w:val="single" w:sz="4" w:space="0" w:color="000000"/>
              <w:right w:val="nil"/>
            </w:tcBorders>
            <w:shd w:val="clear" w:color="000000" w:fill="D9D9D9"/>
            <w:hideMark/>
          </w:tcPr>
          <w:p w14:paraId="477DAB41" w14:textId="77777777" w:rsidR="000B2114" w:rsidRDefault="000B2114">
            <w:pPr>
              <w:jc w:val="center"/>
              <w:rPr>
                <w:rFonts w:ascii="Arial Narrow" w:hAnsi="Arial Narrow" w:cs="Calibri"/>
                <w:b/>
                <w:bCs/>
                <w:color w:val="000000"/>
                <w:sz w:val="18"/>
                <w:szCs w:val="18"/>
              </w:rPr>
            </w:pPr>
            <w:r>
              <w:rPr>
                <w:rFonts w:ascii="Arial Narrow" w:hAnsi="Arial Narrow" w:cs="Calibri"/>
                <w:b/>
                <w:bCs/>
                <w:color w:val="000000"/>
                <w:sz w:val="18"/>
                <w:szCs w:val="18"/>
              </w:rPr>
              <w:t>Morti - Variazioni % 2021/2010</w:t>
            </w:r>
          </w:p>
        </w:tc>
        <w:tc>
          <w:tcPr>
            <w:tcW w:w="919" w:type="dxa"/>
            <w:vMerge w:val="restart"/>
            <w:tcBorders>
              <w:top w:val="single" w:sz="4" w:space="0" w:color="auto"/>
              <w:left w:val="nil"/>
              <w:bottom w:val="single" w:sz="4" w:space="0" w:color="000000"/>
              <w:right w:val="nil"/>
            </w:tcBorders>
            <w:shd w:val="clear" w:color="000000" w:fill="D9D9D9"/>
            <w:hideMark/>
          </w:tcPr>
          <w:p w14:paraId="3B1FBBD9" w14:textId="77777777" w:rsidR="000B2114" w:rsidRDefault="000B2114">
            <w:pPr>
              <w:jc w:val="center"/>
              <w:rPr>
                <w:rFonts w:ascii="Arial Narrow" w:hAnsi="Arial Narrow" w:cs="Calibri"/>
                <w:b/>
                <w:bCs/>
                <w:color w:val="000000"/>
                <w:sz w:val="18"/>
                <w:szCs w:val="18"/>
              </w:rPr>
            </w:pPr>
            <w:r>
              <w:rPr>
                <w:rFonts w:ascii="Arial Narrow" w:hAnsi="Arial Narrow" w:cs="Calibri"/>
                <w:b/>
                <w:bCs/>
                <w:color w:val="000000"/>
                <w:sz w:val="18"/>
                <w:szCs w:val="18"/>
              </w:rPr>
              <w:t>Tasso di mortalità 2021</w:t>
            </w:r>
          </w:p>
        </w:tc>
      </w:tr>
      <w:tr w:rsidR="000B2114" w14:paraId="0B67F399" w14:textId="77777777" w:rsidTr="001917AF">
        <w:trPr>
          <w:trHeight w:val="272"/>
        </w:trPr>
        <w:tc>
          <w:tcPr>
            <w:tcW w:w="930" w:type="dxa"/>
            <w:vMerge/>
            <w:tcBorders>
              <w:top w:val="single" w:sz="4" w:space="0" w:color="auto"/>
              <w:left w:val="nil"/>
              <w:bottom w:val="single" w:sz="4" w:space="0" w:color="000000"/>
              <w:right w:val="nil"/>
            </w:tcBorders>
            <w:vAlign w:val="center"/>
            <w:hideMark/>
          </w:tcPr>
          <w:p w14:paraId="13C83A15" w14:textId="77777777" w:rsidR="000B2114" w:rsidRDefault="000B2114">
            <w:pPr>
              <w:rPr>
                <w:rFonts w:ascii="Arial Narrow" w:hAnsi="Arial Narrow" w:cs="Calibri"/>
                <w:b/>
                <w:bCs/>
                <w:color w:val="000000"/>
                <w:sz w:val="18"/>
                <w:szCs w:val="18"/>
              </w:rPr>
            </w:pPr>
          </w:p>
        </w:tc>
        <w:tc>
          <w:tcPr>
            <w:tcW w:w="2734" w:type="dxa"/>
            <w:gridSpan w:val="3"/>
            <w:vMerge/>
            <w:tcBorders>
              <w:top w:val="single" w:sz="4" w:space="0" w:color="auto"/>
              <w:left w:val="nil"/>
              <w:bottom w:val="single" w:sz="4" w:space="0" w:color="000000"/>
              <w:right w:val="nil"/>
            </w:tcBorders>
            <w:vAlign w:val="center"/>
            <w:hideMark/>
          </w:tcPr>
          <w:p w14:paraId="0368FA78" w14:textId="77777777" w:rsidR="000B2114" w:rsidRDefault="000B2114">
            <w:pPr>
              <w:rPr>
                <w:rFonts w:ascii="Arial Narrow" w:hAnsi="Arial Narrow" w:cs="Calibri"/>
                <w:b/>
                <w:bCs/>
                <w:color w:val="000000"/>
                <w:sz w:val="18"/>
                <w:szCs w:val="18"/>
              </w:rPr>
            </w:pPr>
          </w:p>
        </w:tc>
        <w:tc>
          <w:tcPr>
            <w:tcW w:w="2732" w:type="dxa"/>
            <w:gridSpan w:val="3"/>
            <w:vMerge/>
            <w:tcBorders>
              <w:top w:val="single" w:sz="4" w:space="0" w:color="auto"/>
              <w:left w:val="nil"/>
              <w:bottom w:val="single" w:sz="4" w:space="0" w:color="000000"/>
              <w:right w:val="nil"/>
            </w:tcBorders>
            <w:vAlign w:val="center"/>
            <w:hideMark/>
          </w:tcPr>
          <w:p w14:paraId="6D5D81F7" w14:textId="77777777" w:rsidR="000B2114" w:rsidRDefault="000B2114">
            <w:pPr>
              <w:rPr>
                <w:rFonts w:ascii="Arial Narrow" w:hAnsi="Arial Narrow" w:cs="Calibri"/>
                <w:b/>
                <w:bCs/>
                <w:color w:val="000000"/>
                <w:sz w:val="18"/>
                <w:szCs w:val="18"/>
              </w:rPr>
            </w:pPr>
          </w:p>
        </w:tc>
        <w:tc>
          <w:tcPr>
            <w:tcW w:w="924" w:type="dxa"/>
            <w:vMerge/>
            <w:tcBorders>
              <w:top w:val="single" w:sz="4" w:space="0" w:color="auto"/>
              <w:left w:val="nil"/>
              <w:bottom w:val="single" w:sz="4" w:space="0" w:color="000000"/>
              <w:right w:val="nil"/>
            </w:tcBorders>
            <w:vAlign w:val="center"/>
            <w:hideMark/>
          </w:tcPr>
          <w:p w14:paraId="374FDFA9" w14:textId="77777777" w:rsidR="000B2114" w:rsidRDefault="000B2114">
            <w:pPr>
              <w:rPr>
                <w:rFonts w:ascii="Arial Narrow" w:hAnsi="Arial Narrow" w:cs="Calibri"/>
                <w:b/>
                <w:bCs/>
                <w:color w:val="000000"/>
                <w:sz w:val="18"/>
                <w:szCs w:val="18"/>
              </w:rPr>
            </w:pPr>
          </w:p>
        </w:tc>
        <w:tc>
          <w:tcPr>
            <w:tcW w:w="923" w:type="dxa"/>
            <w:vMerge/>
            <w:tcBorders>
              <w:top w:val="single" w:sz="4" w:space="0" w:color="auto"/>
              <w:left w:val="nil"/>
              <w:bottom w:val="single" w:sz="4" w:space="0" w:color="000000"/>
              <w:right w:val="nil"/>
            </w:tcBorders>
            <w:vAlign w:val="center"/>
            <w:hideMark/>
          </w:tcPr>
          <w:p w14:paraId="0E4424D9" w14:textId="77777777" w:rsidR="000B2114" w:rsidRDefault="000B2114">
            <w:pPr>
              <w:rPr>
                <w:rFonts w:ascii="Arial Narrow" w:hAnsi="Arial Narrow" w:cs="Calibri"/>
                <w:b/>
                <w:bCs/>
                <w:color w:val="000000"/>
                <w:sz w:val="18"/>
                <w:szCs w:val="18"/>
              </w:rPr>
            </w:pPr>
          </w:p>
        </w:tc>
        <w:tc>
          <w:tcPr>
            <w:tcW w:w="923" w:type="dxa"/>
            <w:vMerge/>
            <w:tcBorders>
              <w:top w:val="single" w:sz="4" w:space="0" w:color="auto"/>
              <w:left w:val="nil"/>
              <w:bottom w:val="single" w:sz="4" w:space="0" w:color="000000"/>
              <w:right w:val="nil"/>
            </w:tcBorders>
            <w:vAlign w:val="center"/>
            <w:hideMark/>
          </w:tcPr>
          <w:p w14:paraId="67465320" w14:textId="77777777" w:rsidR="000B2114" w:rsidRDefault="000B2114">
            <w:pPr>
              <w:rPr>
                <w:rFonts w:ascii="Arial Narrow" w:hAnsi="Arial Narrow" w:cs="Calibri"/>
                <w:b/>
                <w:bCs/>
                <w:color w:val="000000"/>
                <w:sz w:val="18"/>
                <w:szCs w:val="18"/>
              </w:rPr>
            </w:pPr>
          </w:p>
        </w:tc>
        <w:tc>
          <w:tcPr>
            <w:tcW w:w="919" w:type="dxa"/>
            <w:vMerge/>
            <w:tcBorders>
              <w:top w:val="single" w:sz="4" w:space="0" w:color="auto"/>
              <w:left w:val="nil"/>
              <w:bottom w:val="single" w:sz="4" w:space="0" w:color="000000"/>
              <w:right w:val="nil"/>
            </w:tcBorders>
            <w:vAlign w:val="center"/>
            <w:hideMark/>
          </w:tcPr>
          <w:p w14:paraId="0FEFD89B" w14:textId="77777777" w:rsidR="000B2114" w:rsidRDefault="000B2114">
            <w:pPr>
              <w:rPr>
                <w:rFonts w:ascii="Arial Narrow" w:hAnsi="Arial Narrow" w:cs="Calibri"/>
                <w:b/>
                <w:bCs/>
                <w:color w:val="000000"/>
                <w:sz w:val="18"/>
                <w:szCs w:val="18"/>
              </w:rPr>
            </w:pPr>
          </w:p>
        </w:tc>
        <w:tc>
          <w:tcPr>
            <w:tcW w:w="141" w:type="dxa"/>
            <w:tcBorders>
              <w:top w:val="nil"/>
              <w:left w:val="nil"/>
              <w:bottom w:val="nil"/>
              <w:right w:val="nil"/>
            </w:tcBorders>
            <w:shd w:val="clear" w:color="auto" w:fill="auto"/>
            <w:noWrap/>
            <w:vAlign w:val="bottom"/>
            <w:hideMark/>
          </w:tcPr>
          <w:p w14:paraId="7F556DF3" w14:textId="77777777" w:rsidR="000B2114" w:rsidRDefault="000B2114">
            <w:pPr>
              <w:jc w:val="center"/>
              <w:rPr>
                <w:rFonts w:ascii="Arial Narrow" w:hAnsi="Arial Narrow" w:cs="Calibri"/>
                <w:b/>
                <w:bCs/>
                <w:color w:val="000000"/>
                <w:sz w:val="18"/>
                <w:szCs w:val="18"/>
              </w:rPr>
            </w:pPr>
          </w:p>
        </w:tc>
      </w:tr>
      <w:tr w:rsidR="000B2114" w14:paraId="023AA53B" w14:textId="77777777" w:rsidTr="001917AF">
        <w:trPr>
          <w:trHeight w:val="435"/>
        </w:trPr>
        <w:tc>
          <w:tcPr>
            <w:tcW w:w="930" w:type="dxa"/>
            <w:vMerge/>
            <w:tcBorders>
              <w:top w:val="single" w:sz="4" w:space="0" w:color="auto"/>
              <w:left w:val="nil"/>
              <w:bottom w:val="single" w:sz="4" w:space="0" w:color="000000"/>
              <w:right w:val="nil"/>
            </w:tcBorders>
            <w:vAlign w:val="center"/>
            <w:hideMark/>
          </w:tcPr>
          <w:p w14:paraId="2DF8F2D9" w14:textId="77777777" w:rsidR="000B2114" w:rsidRDefault="000B2114">
            <w:pPr>
              <w:rPr>
                <w:rFonts w:ascii="Arial Narrow" w:hAnsi="Arial Narrow" w:cs="Calibri"/>
                <w:b/>
                <w:bCs/>
                <w:color w:val="000000"/>
                <w:sz w:val="18"/>
                <w:szCs w:val="18"/>
              </w:rPr>
            </w:pPr>
          </w:p>
        </w:tc>
        <w:tc>
          <w:tcPr>
            <w:tcW w:w="915" w:type="dxa"/>
            <w:tcBorders>
              <w:top w:val="nil"/>
              <w:left w:val="nil"/>
              <w:bottom w:val="single" w:sz="4" w:space="0" w:color="auto"/>
              <w:right w:val="nil"/>
            </w:tcBorders>
            <w:shd w:val="clear" w:color="000000" w:fill="FFFFFF"/>
            <w:vAlign w:val="center"/>
            <w:hideMark/>
          </w:tcPr>
          <w:p w14:paraId="42894680" w14:textId="77777777" w:rsidR="000B2114" w:rsidRDefault="000B2114">
            <w:pPr>
              <w:jc w:val="right"/>
              <w:rPr>
                <w:rFonts w:ascii="Arial Narrow" w:hAnsi="Arial Narrow" w:cs="Calibri"/>
                <w:color w:val="000000"/>
                <w:sz w:val="18"/>
                <w:szCs w:val="18"/>
              </w:rPr>
            </w:pPr>
            <w:r>
              <w:rPr>
                <w:rFonts w:ascii="Arial Narrow" w:hAnsi="Arial Narrow" w:cs="Calibri"/>
                <w:color w:val="000000"/>
                <w:sz w:val="18"/>
                <w:szCs w:val="18"/>
              </w:rPr>
              <w:t>Incidenti</w:t>
            </w:r>
          </w:p>
        </w:tc>
        <w:tc>
          <w:tcPr>
            <w:tcW w:w="905" w:type="dxa"/>
            <w:tcBorders>
              <w:top w:val="nil"/>
              <w:left w:val="nil"/>
              <w:bottom w:val="single" w:sz="4" w:space="0" w:color="auto"/>
              <w:right w:val="nil"/>
            </w:tcBorders>
            <w:shd w:val="clear" w:color="000000" w:fill="FFFFFF"/>
            <w:vAlign w:val="center"/>
            <w:hideMark/>
          </w:tcPr>
          <w:p w14:paraId="276263E9" w14:textId="77777777" w:rsidR="000B2114" w:rsidRDefault="000B2114">
            <w:pPr>
              <w:jc w:val="right"/>
              <w:rPr>
                <w:rFonts w:ascii="Arial Narrow" w:hAnsi="Arial Narrow" w:cs="Calibri"/>
                <w:color w:val="000000"/>
                <w:sz w:val="18"/>
                <w:szCs w:val="18"/>
              </w:rPr>
            </w:pPr>
            <w:r>
              <w:rPr>
                <w:rFonts w:ascii="Arial Narrow" w:hAnsi="Arial Narrow" w:cs="Calibri"/>
                <w:color w:val="000000"/>
                <w:sz w:val="18"/>
                <w:szCs w:val="18"/>
              </w:rPr>
              <w:t>Morti</w:t>
            </w:r>
          </w:p>
        </w:tc>
        <w:tc>
          <w:tcPr>
            <w:tcW w:w="913" w:type="dxa"/>
            <w:tcBorders>
              <w:top w:val="nil"/>
              <w:left w:val="nil"/>
              <w:bottom w:val="single" w:sz="4" w:space="0" w:color="auto"/>
              <w:right w:val="nil"/>
            </w:tcBorders>
            <w:shd w:val="clear" w:color="000000" w:fill="FFFFFF"/>
            <w:vAlign w:val="center"/>
            <w:hideMark/>
          </w:tcPr>
          <w:p w14:paraId="049F9918" w14:textId="77777777" w:rsidR="000B2114" w:rsidRDefault="000B2114">
            <w:pPr>
              <w:jc w:val="right"/>
              <w:rPr>
                <w:rFonts w:ascii="Arial Narrow" w:hAnsi="Arial Narrow" w:cs="Calibri"/>
                <w:color w:val="000000"/>
                <w:sz w:val="18"/>
                <w:szCs w:val="18"/>
              </w:rPr>
            </w:pPr>
            <w:r>
              <w:rPr>
                <w:rFonts w:ascii="Arial Narrow" w:hAnsi="Arial Narrow" w:cs="Calibri"/>
                <w:color w:val="000000"/>
                <w:sz w:val="18"/>
                <w:szCs w:val="18"/>
              </w:rPr>
              <w:t>Feriti</w:t>
            </w:r>
          </w:p>
        </w:tc>
        <w:tc>
          <w:tcPr>
            <w:tcW w:w="914" w:type="dxa"/>
            <w:tcBorders>
              <w:top w:val="nil"/>
              <w:left w:val="nil"/>
              <w:bottom w:val="single" w:sz="4" w:space="0" w:color="auto"/>
              <w:right w:val="nil"/>
            </w:tcBorders>
            <w:shd w:val="clear" w:color="000000" w:fill="FFFFFF"/>
            <w:vAlign w:val="center"/>
            <w:hideMark/>
          </w:tcPr>
          <w:p w14:paraId="79C0F113" w14:textId="77777777" w:rsidR="000B2114" w:rsidRDefault="000B2114">
            <w:pPr>
              <w:jc w:val="right"/>
              <w:rPr>
                <w:rFonts w:ascii="Arial Narrow" w:hAnsi="Arial Narrow" w:cs="Calibri"/>
                <w:color w:val="000000"/>
                <w:sz w:val="18"/>
                <w:szCs w:val="18"/>
              </w:rPr>
            </w:pPr>
            <w:r>
              <w:rPr>
                <w:rFonts w:ascii="Arial Narrow" w:hAnsi="Arial Narrow" w:cs="Calibri"/>
                <w:color w:val="000000"/>
                <w:sz w:val="18"/>
                <w:szCs w:val="18"/>
              </w:rPr>
              <w:t>Incidenti</w:t>
            </w:r>
          </w:p>
        </w:tc>
        <w:tc>
          <w:tcPr>
            <w:tcW w:w="904" w:type="dxa"/>
            <w:tcBorders>
              <w:top w:val="nil"/>
              <w:left w:val="nil"/>
              <w:bottom w:val="single" w:sz="4" w:space="0" w:color="auto"/>
              <w:right w:val="nil"/>
            </w:tcBorders>
            <w:shd w:val="clear" w:color="000000" w:fill="FFFFFF"/>
            <w:vAlign w:val="center"/>
            <w:hideMark/>
          </w:tcPr>
          <w:p w14:paraId="79ED716A" w14:textId="77777777" w:rsidR="000B2114" w:rsidRDefault="000B2114">
            <w:pPr>
              <w:jc w:val="right"/>
              <w:rPr>
                <w:rFonts w:ascii="Arial Narrow" w:hAnsi="Arial Narrow" w:cs="Calibri"/>
                <w:color w:val="000000"/>
                <w:sz w:val="18"/>
                <w:szCs w:val="18"/>
              </w:rPr>
            </w:pPr>
            <w:r>
              <w:rPr>
                <w:rFonts w:ascii="Arial Narrow" w:hAnsi="Arial Narrow" w:cs="Calibri"/>
                <w:color w:val="000000"/>
                <w:sz w:val="18"/>
                <w:szCs w:val="18"/>
              </w:rPr>
              <w:t>Morti</w:t>
            </w:r>
          </w:p>
        </w:tc>
        <w:tc>
          <w:tcPr>
            <w:tcW w:w="913" w:type="dxa"/>
            <w:tcBorders>
              <w:top w:val="nil"/>
              <w:left w:val="nil"/>
              <w:bottom w:val="single" w:sz="4" w:space="0" w:color="auto"/>
              <w:right w:val="nil"/>
            </w:tcBorders>
            <w:shd w:val="clear" w:color="000000" w:fill="FFFFFF"/>
            <w:vAlign w:val="center"/>
            <w:hideMark/>
          </w:tcPr>
          <w:p w14:paraId="2524F81B" w14:textId="77777777" w:rsidR="000B2114" w:rsidRDefault="000B2114">
            <w:pPr>
              <w:jc w:val="right"/>
              <w:rPr>
                <w:rFonts w:ascii="Arial Narrow" w:hAnsi="Arial Narrow" w:cs="Calibri"/>
                <w:color w:val="000000"/>
                <w:sz w:val="18"/>
                <w:szCs w:val="18"/>
              </w:rPr>
            </w:pPr>
            <w:r>
              <w:rPr>
                <w:rFonts w:ascii="Arial Narrow" w:hAnsi="Arial Narrow" w:cs="Calibri"/>
                <w:color w:val="000000"/>
                <w:sz w:val="18"/>
                <w:szCs w:val="18"/>
              </w:rPr>
              <w:t>Feriti</w:t>
            </w:r>
          </w:p>
        </w:tc>
        <w:tc>
          <w:tcPr>
            <w:tcW w:w="924" w:type="dxa"/>
            <w:vMerge/>
            <w:tcBorders>
              <w:top w:val="single" w:sz="4" w:space="0" w:color="auto"/>
              <w:left w:val="nil"/>
              <w:bottom w:val="single" w:sz="4" w:space="0" w:color="000000"/>
              <w:right w:val="nil"/>
            </w:tcBorders>
            <w:vAlign w:val="center"/>
            <w:hideMark/>
          </w:tcPr>
          <w:p w14:paraId="164EDC62" w14:textId="77777777" w:rsidR="000B2114" w:rsidRDefault="000B2114">
            <w:pPr>
              <w:rPr>
                <w:rFonts w:ascii="Arial Narrow" w:hAnsi="Arial Narrow" w:cs="Calibri"/>
                <w:b/>
                <w:bCs/>
                <w:color w:val="000000"/>
                <w:sz w:val="18"/>
                <w:szCs w:val="18"/>
              </w:rPr>
            </w:pPr>
          </w:p>
        </w:tc>
        <w:tc>
          <w:tcPr>
            <w:tcW w:w="923" w:type="dxa"/>
            <w:vMerge/>
            <w:tcBorders>
              <w:top w:val="single" w:sz="4" w:space="0" w:color="auto"/>
              <w:left w:val="nil"/>
              <w:bottom w:val="single" w:sz="4" w:space="0" w:color="000000"/>
              <w:right w:val="nil"/>
            </w:tcBorders>
            <w:vAlign w:val="center"/>
            <w:hideMark/>
          </w:tcPr>
          <w:p w14:paraId="6A695465" w14:textId="77777777" w:rsidR="000B2114" w:rsidRDefault="000B2114">
            <w:pPr>
              <w:rPr>
                <w:rFonts w:ascii="Arial Narrow" w:hAnsi="Arial Narrow" w:cs="Calibri"/>
                <w:b/>
                <w:bCs/>
                <w:color w:val="000000"/>
                <w:sz w:val="18"/>
                <w:szCs w:val="18"/>
              </w:rPr>
            </w:pPr>
          </w:p>
        </w:tc>
        <w:tc>
          <w:tcPr>
            <w:tcW w:w="923" w:type="dxa"/>
            <w:vMerge/>
            <w:tcBorders>
              <w:top w:val="single" w:sz="4" w:space="0" w:color="auto"/>
              <w:left w:val="nil"/>
              <w:bottom w:val="single" w:sz="4" w:space="0" w:color="000000"/>
              <w:right w:val="nil"/>
            </w:tcBorders>
            <w:vAlign w:val="center"/>
            <w:hideMark/>
          </w:tcPr>
          <w:p w14:paraId="65D79AC1" w14:textId="77777777" w:rsidR="000B2114" w:rsidRDefault="000B2114">
            <w:pPr>
              <w:rPr>
                <w:rFonts w:ascii="Arial Narrow" w:hAnsi="Arial Narrow" w:cs="Calibri"/>
                <w:b/>
                <w:bCs/>
                <w:color w:val="000000"/>
                <w:sz w:val="18"/>
                <w:szCs w:val="18"/>
              </w:rPr>
            </w:pPr>
          </w:p>
        </w:tc>
        <w:tc>
          <w:tcPr>
            <w:tcW w:w="919" w:type="dxa"/>
            <w:vMerge/>
            <w:tcBorders>
              <w:top w:val="single" w:sz="4" w:space="0" w:color="auto"/>
              <w:left w:val="nil"/>
              <w:bottom w:val="single" w:sz="4" w:space="0" w:color="000000"/>
              <w:right w:val="nil"/>
            </w:tcBorders>
            <w:vAlign w:val="center"/>
            <w:hideMark/>
          </w:tcPr>
          <w:p w14:paraId="1B58C5D1" w14:textId="77777777" w:rsidR="000B2114" w:rsidRDefault="000B2114">
            <w:pPr>
              <w:rPr>
                <w:rFonts w:ascii="Arial Narrow" w:hAnsi="Arial Narrow" w:cs="Calibri"/>
                <w:b/>
                <w:bCs/>
                <w:color w:val="000000"/>
                <w:sz w:val="18"/>
                <w:szCs w:val="18"/>
              </w:rPr>
            </w:pPr>
          </w:p>
        </w:tc>
        <w:tc>
          <w:tcPr>
            <w:tcW w:w="141" w:type="dxa"/>
            <w:vAlign w:val="center"/>
            <w:hideMark/>
          </w:tcPr>
          <w:p w14:paraId="37A9A563" w14:textId="77777777" w:rsidR="000B2114" w:rsidRDefault="000B2114">
            <w:pPr>
              <w:rPr>
                <w:sz w:val="20"/>
                <w:szCs w:val="20"/>
              </w:rPr>
            </w:pPr>
          </w:p>
        </w:tc>
      </w:tr>
      <w:tr w:rsidR="000B2114" w14:paraId="52C8A2D6" w14:textId="77777777" w:rsidTr="001917AF">
        <w:trPr>
          <w:trHeight w:val="272"/>
        </w:trPr>
        <w:tc>
          <w:tcPr>
            <w:tcW w:w="930" w:type="dxa"/>
            <w:tcBorders>
              <w:top w:val="nil"/>
              <w:left w:val="nil"/>
              <w:bottom w:val="single" w:sz="4" w:space="0" w:color="auto"/>
              <w:right w:val="nil"/>
            </w:tcBorders>
            <w:shd w:val="clear" w:color="auto" w:fill="auto"/>
            <w:noWrap/>
            <w:hideMark/>
          </w:tcPr>
          <w:p w14:paraId="1EE168E1" w14:textId="77777777" w:rsidR="000B2114" w:rsidRDefault="000B2114">
            <w:pPr>
              <w:rPr>
                <w:rFonts w:ascii="Arial Narrow" w:hAnsi="Arial Narrow" w:cs="Calibri"/>
                <w:color w:val="000000"/>
                <w:sz w:val="18"/>
                <w:szCs w:val="18"/>
              </w:rPr>
            </w:pPr>
            <w:r>
              <w:rPr>
                <w:rFonts w:ascii="Arial Narrow" w:hAnsi="Arial Narrow" w:cs="Calibri"/>
                <w:color w:val="000000"/>
                <w:sz w:val="18"/>
                <w:szCs w:val="18"/>
              </w:rPr>
              <w:t>Potenza</w:t>
            </w:r>
          </w:p>
        </w:tc>
        <w:tc>
          <w:tcPr>
            <w:tcW w:w="915" w:type="dxa"/>
            <w:tcBorders>
              <w:top w:val="nil"/>
              <w:left w:val="nil"/>
              <w:bottom w:val="single" w:sz="4" w:space="0" w:color="auto"/>
              <w:right w:val="nil"/>
            </w:tcBorders>
            <w:shd w:val="clear" w:color="000000" w:fill="D9D9D9"/>
            <w:vAlign w:val="center"/>
            <w:hideMark/>
          </w:tcPr>
          <w:p w14:paraId="48814C2B" w14:textId="77777777" w:rsidR="000B2114" w:rsidRDefault="000B2114">
            <w:pPr>
              <w:jc w:val="right"/>
              <w:rPr>
                <w:rFonts w:ascii="Arial Narrow" w:hAnsi="Arial Narrow" w:cs="Calibri"/>
                <w:color w:val="000000"/>
                <w:sz w:val="18"/>
                <w:szCs w:val="18"/>
              </w:rPr>
            </w:pPr>
            <w:r>
              <w:rPr>
                <w:rFonts w:ascii="Arial Narrow" w:hAnsi="Arial Narrow" w:cs="Calibri"/>
                <w:color w:val="000000"/>
                <w:sz w:val="18"/>
                <w:szCs w:val="18"/>
              </w:rPr>
              <w:t>508</w:t>
            </w:r>
          </w:p>
        </w:tc>
        <w:tc>
          <w:tcPr>
            <w:tcW w:w="905" w:type="dxa"/>
            <w:tcBorders>
              <w:top w:val="nil"/>
              <w:left w:val="nil"/>
              <w:bottom w:val="single" w:sz="4" w:space="0" w:color="auto"/>
              <w:right w:val="nil"/>
            </w:tcBorders>
            <w:shd w:val="clear" w:color="000000" w:fill="FFFFFF"/>
            <w:vAlign w:val="center"/>
            <w:hideMark/>
          </w:tcPr>
          <w:p w14:paraId="2353E298" w14:textId="77777777" w:rsidR="000B2114" w:rsidRDefault="000B2114">
            <w:pPr>
              <w:jc w:val="right"/>
              <w:rPr>
                <w:rFonts w:ascii="Arial Narrow" w:hAnsi="Arial Narrow" w:cs="Calibri"/>
                <w:color w:val="000000"/>
                <w:sz w:val="18"/>
                <w:szCs w:val="18"/>
              </w:rPr>
            </w:pPr>
            <w:r>
              <w:rPr>
                <w:rFonts w:ascii="Arial Narrow" w:hAnsi="Arial Narrow" w:cs="Calibri"/>
                <w:color w:val="000000"/>
                <w:sz w:val="18"/>
                <w:szCs w:val="18"/>
              </w:rPr>
              <w:t>20</w:t>
            </w:r>
          </w:p>
        </w:tc>
        <w:tc>
          <w:tcPr>
            <w:tcW w:w="913" w:type="dxa"/>
            <w:tcBorders>
              <w:top w:val="nil"/>
              <w:left w:val="nil"/>
              <w:bottom w:val="single" w:sz="4" w:space="0" w:color="auto"/>
              <w:right w:val="nil"/>
            </w:tcBorders>
            <w:shd w:val="clear" w:color="000000" w:fill="D9D9D9"/>
            <w:vAlign w:val="center"/>
            <w:hideMark/>
          </w:tcPr>
          <w:p w14:paraId="642893F1" w14:textId="77777777" w:rsidR="000B2114" w:rsidRDefault="000B2114">
            <w:pPr>
              <w:jc w:val="right"/>
              <w:rPr>
                <w:rFonts w:ascii="Arial Narrow" w:hAnsi="Arial Narrow" w:cs="Calibri"/>
                <w:color w:val="000000"/>
                <w:sz w:val="18"/>
                <w:szCs w:val="18"/>
              </w:rPr>
            </w:pPr>
            <w:r>
              <w:rPr>
                <w:rFonts w:ascii="Arial Narrow" w:hAnsi="Arial Narrow" w:cs="Calibri"/>
                <w:color w:val="000000"/>
                <w:sz w:val="18"/>
                <w:szCs w:val="18"/>
              </w:rPr>
              <w:t>753</w:t>
            </w:r>
          </w:p>
        </w:tc>
        <w:tc>
          <w:tcPr>
            <w:tcW w:w="914" w:type="dxa"/>
            <w:tcBorders>
              <w:top w:val="nil"/>
              <w:left w:val="nil"/>
              <w:bottom w:val="single" w:sz="4" w:space="0" w:color="auto"/>
              <w:right w:val="nil"/>
            </w:tcBorders>
            <w:shd w:val="clear" w:color="000000" w:fill="FFFFFF"/>
            <w:vAlign w:val="center"/>
            <w:hideMark/>
          </w:tcPr>
          <w:p w14:paraId="03C083A2" w14:textId="77777777" w:rsidR="000B2114" w:rsidRDefault="000B2114">
            <w:pPr>
              <w:jc w:val="right"/>
              <w:rPr>
                <w:rFonts w:ascii="Arial Narrow" w:hAnsi="Arial Narrow" w:cs="Calibri"/>
                <w:color w:val="000000"/>
                <w:sz w:val="18"/>
                <w:szCs w:val="18"/>
              </w:rPr>
            </w:pPr>
            <w:r>
              <w:rPr>
                <w:rFonts w:ascii="Arial Narrow" w:hAnsi="Arial Narrow" w:cs="Calibri"/>
                <w:color w:val="000000"/>
                <w:sz w:val="18"/>
                <w:szCs w:val="18"/>
              </w:rPr>
              <w:t>372</w:t>
            </w:r>
          </w:p>
        </w:tc>
        <w:tc>
          <w:tcPr>
            <w:tcW w:w="904" w:type="dxa"/>
            <w:tcBorders>
              <w:top w:val="nil"/>
              <w:left w:val="nil"/>
              <w:bottom w:val="single" w:sz="4" w:space="0" w:color="auto"/>
              <w:right w:val="nil"/>
            </w:tcBorders>
            <w:shd w:val="clear" w:color="000000" w:fill="D9D9D9"/>
            <w:vAlign w:val="center"/>
            <w:hideMark/>
          </w:tcPr>
          <w:p w14:paraId="0B8693BB" w14:textId="77777777" w:rsidR="000B2114" w:rsidRDefault="000B2114">
            <w:pPr>
              <w:jc w:val="right"/>
              <w:rPr>
                <w:rFonts w:ascii="Arial Narrow" w:hAnsi="Arial Narrow" w:cs="Calibri"/>
                <w:color w:val="000000"/>
                <w:sz w:val="18"/>
                <w:szCs w:val="18"/>
              </w:rPr>
            </w:pPr>
            <w:r>
              <w:rPr>
                <w:rFonts w:ascii="Arial Narrow" w:hAnsi="Arial Narrow" w:cs="Calibri"/>
                <w:color w:val="000000"/>
                <w:sz w:val="18"/>
                <w:szCs w:val="18"/>
              </w:rPr>
              <w:t>11</w:t>
            </w:r>
          </w:p>
        </w:tc>
        <w:tc>
          <w:tcPr>
            <w:tcW w:w="913" w:type="dxa"/>
            <w:tcBorders>
              <w:top w:val="nil"/>
              <w:left w:val="nil"/>
              <w:bottom w:val="single" w:sz="4" w:space="0" w:color="auto"/>
              <w:right w:val="nil"/>
            </w:tcBorders>
            <w:shd w:val="clear" w:color="000000" w:fill="FFFFFF"/>
            <w:vAlign w:val="center"/>
            <w:hideMark/>
          </w:tcPr>
          <w:p w14:paraId="44DE110D" w14:textId="77777777" w:rsidR="000B2114" w:rsidRDefault="000B2114">
            <w:pPr>
              <w:jc w:val="right"/>
              <w:rPr>
                <w:rFonts w:ascii="Arial Narrow" w:hAnsi="Arial Narrow" w:cs="Calibri"/>
                <w:color w:val="000000"/>
                <w:sz w:val="18"/>
                <w:szCs w:val="18"/>
              </w:rPr>
            </w:pPr>
            <w:r>
              <w:rPr>
                <w:rFonts w:ascii="Arial Narrow" w:hAnsi="Arial Narrow" w:cs="Calibri"/>
                <w:color w:val="000000"/>
                <w:sz w:val="18"/>
                <w:szCs w:val="18"/>
              </w:rPr>
              <w:t>551</w:t>
            </w:r>
          </w:p>
        </w:tc>
        <w:tc>
          <w:tcPr>
            <w:tcW w:w="924" w:type="dxa"/>
            <w:tcBorders>
              <w:top w:val="nil"/>
              <w:left w:val="nil"/>
              <w:bottom w:val="single" w:sz="4" w:space="0" w:color="auto"/>
              <w:right w:val="nil"/>
            </w:tcBorders>
            <w:shd w:val="clear" w:color="000000" w:fill="D9D9D9"/>
            <w:vAlign w:val="center"/>
            <w:hideMark/>
          </w:tcPr>
          <w:p w14:paraId="1640E855" w14:textId="77777777" w:rsidR="000B2114" w:rsidRDefault="000B2114">
            <w:pPr>
              <w:jc w:val="right"/>
              <w:rPr>
                <w:rFonts w:ascii="Arial Narrow" w:hAnsi="Arial Narrow" w:cs="Calibri"/>
                <w:color w:val="000000"/>
                <w:sz w:val="18"/>
                <w:szCs w:val="18"/>
              </w:rPr>
            </w:pPr>
            <w:r>
              <w:rPr>
                <w:rFonts w:ascii="Arial Narrow" w:hAnsi="Arial Narrow" w:cs="Calibri"/>
                <w:color w:val="000000"/>
                <w:sz w:val="18"/>
                <w:szCs w:val="18"/>
              </w:rPr>
              <w:t>9</w:t>
            </w:r>
          </w:p>
        </w:tc>
        <w:tc>
          <w:tcPr>
            <w:tcW w:w="923" w:type="dxa"/>
            <w:tcBorders>
              <w:top w:val="nil"/>
              <w:left w:val="nil"/>
              <w:bottom w:val="single" w:sz="4" w:space="0" w:color="auto"/>
              <w:right w:val="nil"/>
            </w:tcBorders>
            <w:shd w:val="clear" w:color="000000" w:fill="FFFFFF"/>
            <w:vAlign w:val="center"/>
            <w:hideMark/>
          </w:tcPr>
          <w:p w14:paraId="531DB8BA" w14:textId="77777777" w:rsidR="000B2114" w:rsidRDefault="000B2114">
            <w:pPr>
              <w:jc w:val="right"/>
              <w:rPr>
                <w:rFonts w:ascii="Arial Narrow" w:hAnsi="Arial Narrow" w:cs="Calibri"/>
                <w:color w:val="000000"/>
                <w:sz w:val="18"/>
                <w:szCs w:val="18"/>
              </w:rPr>
            </w:pPr>
            <w:r>
              <w:rPr>
                <w:rFonts w:ascii="Arial Narrow" w:hAnsi="Arial Narrow" w:cs="Calibri"/>
                <w:color w:val="000000"/>
                <w:sz w:val="18"/>
                <w:szCs w:val="18"/>
              </w:rPr>
              <w:t>25,0</w:t>
            </w:r>
          </w:p>
        </w:tc>
        <w:tc>
          <w:tcPr>
            <w:tcW w:w="923" w:type="dxa"/>
            <w:tcBorders>
              <w:top w:val="nil"/>
              <w:left w:val="nil"/>
              <w:bottom w:val="single" w:sz="4" w:space="0" w:color="auto"/>
              <w:right w:val="nil"/>
            </w:tcBorders>
            <w:shd w:val="clear" w:color="000000" w:fill="D9D9D9"/>
            <w:vAlign w:val="center"/>
            <w:hideMark/>
          </w:tcPr>
          <w:p w14:paraId="3644AC16" w14:textId="77777777" w:rsidR="000B2114" w:rsidRDefault="000B2114">
            <w:pPr>
              <w:jc w:val="right"/>
              <w:rPr>
                <w:rFonts w:ascii="Arial Narrow" w:hAnsi="Arial Narrow" w:cs="Calibri"/>
                <w:color w:val="000000"/>
                <w:sz w:val="18"/>
                <w:szCs w:val="18"/>
              </w:rPr>
            </w:pPr>
            <w:r>
              <w:rPr>
                <w:rFonts w:ascii="Arial Narrow" w:hAnsi="Arial Narrow" w:cs="Calibri"/>
                <w:color w:val="000000"/>
                <w:sz w:val="18"/>
                <w:szCs w:val="18"/>
              </w:rPr>
              <w:t>-20,0</w:t>
            </w:r>
          </w:p>
        </w:tc>
        <w:tc>
          <w:tcPr>
            <w:tcW w:w="919" w:type="dxa"/>
            <w:tcBorders>
              <w:top w:val="nil"/>
              <w:left w:val="nil"/>
              <w:bottom w:val="single" w:sz="4" w:space="0" w:color="auto"/>
              <w:right w:val="nil"/>
            </w:tcBorders>
            <w:shd w:val="clear" w:color="000000" w:fill="FFFFFF"/>
            <w:vAlign w:val="center"/>
            <w:hideMark/>
          </w:tcPr>
          <w:p w14:paraId="038A8CC8" w14:textId="77777777" w:rsidR="000B2114" w:rsidRDefault="000B2114">
            <w:pPr>
              <w:jc w:val="right"/>
              <w:rPr>
                <w:rFonts w:ascii="Arial Narrow" w:hAnsi="Arial Narrow" w:cs="Calibri"/>
                <w:color w:val="000000"/>
                <w:sz w:val="18"/>
                <w:szCs w:val="18"/>
              </w:rPr>
            </w:pPr>
            <w:r>
              <w:rPr>
                <w:rFonts w:ascii="Arial Narrow" w:hAnsi="Arial Narrow" w:cs="Calibri"/>
                <w:color w:val="000000"/>
                <w:sz w:val="18"/>
                <w:szCs w:val="18"/>
              </w:rPr>
              <w:t>5,7</w:t>
            </w:r>
          </w:p>
        </w:tc>
        <w:tc>
          <w:tcPr>
            <w:tcW w:w="141" w:type="dxa"/>
            <w:vAlign w:val="center"/>
            <w:hideMark/>
          </w:tcPr>
          <w:p w14:paraId="75477E63" w14:textId="77777777" w:rsidR="000B2114" w:rsidRDefault="000B2114">
            <w:pPr>
              <w:rPr>
                <w:sz w:val="20"/>
                <w:szCs w:val="20"/>
              </w:rPr>
            </w:pPr>
          </w:p>
        </w:tc>
      </w:tr>
      <w:tr w:rsidR="000B2114" w14:paraId="0570151C" w14:textId="77777777" w:rsidTr="001917AF">
        <w:trPr>
          <w:trHeight w:val="272"/>
        </w:trPr>
        <w:tc>
          <w:tcPr>
            <w:tcW w:w="930" w:type="dxa"/>
            <w:tcBorders>
              <w:top w:val="nil"/>
              <w:left w:val="nil"/>
              <w:bottom w:val="single" w:sz="4" w:space="0" w:color="auto"/>
              <w:right w:val="nil"/>
            </w:tcBorders>
            <w:shd w:val="clear" w:color="auto" w:fill="auto"/>
            <w:noWrap/>
            <w:hideMark/>
          </w:tcPr>
          <w:p w14:paraId="761BC3C8" w14:textId="77777777" w:rsidR="000B2114" w:rsidRDefault="000B2114">
            <w:pPr>
              <w:rPr>
                <w:rFonts w:ascii="Arial Narrow" w:hAnsi="Arial Narrow" w:cs="Calibri"/>
                <w:color w:val="000000"/>
                <w:sz w:val="18"/>
                <w:szCs w:val="18"/>
              </w:rPr>
            </w:pPr>
            <w:r>
              <w:rPr>
                <w:rFonts w:ascii="Arial Narrow" w:hAnsi="Arial Narrow" w:cs="Calibri"/>
                <w:color w:val="000000"/>
                <w:sz w:val="18"/>
                <w:szCs w:val="18"/>
              </w:rPr>
              <w:t>Matera</w:t>
            </w:r>
          </w:p>
        </w:tc>
        <w:tc>
          <w:tcPr>
            <w:tcW w:w="915" w:type="dxa"/>
            <w:tcBorders>
              <w:top w:val="nil"/>
              <w:left w:val="nil"/>
              <w:bottom w:val="single" w:sz="4" w:space="0" w:color="auto"/>
              <w:right w:val="nil"/>
            </w:tcBorders>
            <w:shd w:val="clear" w:color="000000" w:fill="D9D9D9"/>
            <w:vAlign w:val="center"/>
            <w:hideMark/>
          </w:tcPr>
          <w:p w14:paraId="2232B9E8" w14:textId="77777777" w:rsidR="000B2114" w:rsidRDefault="000B2114">
            <w:pPr>
              <w:jc w:val="right"/>
              <w:rPr>
                <w:rFonts w:ascii="Arial Narrow" w:hAnsi="Arial Narrow" w:cs="Calibri"/>
                <w:color w:val="000000"/>
                <w:sz w:val="18"/>
                <w:szCs w:val="18"/>
              </w:rPr>
            </w:pPr>
            <w:r>
              <w:rPr>
                <w:rFonts w:ascii="Arial Narrow" w:hAnsi="Arial Narrow" w:cs="Calibri"/>
                <w:color w:val="000000"/>
                <w:sz w:val="18"/>
                <w:szCs w:val="18"/>
              </w:rPr>
              <w:t>410</w:t>
            </w:r>
          </w:p>
        </w:tc>
        <w:tc>
          <w:tcPr>
            <w:tcW w:w="905" w:type="dxa"/>
            <w:tcBorders>
              <w:top w:val="nil"/>
              <w:left w:val="nil"/>
              <w:bottom w:val="single" w:sz="4" w:space="0" w:color="auto"/>
              <w:right w:val="nil"/>
            </w:tcBorders>
            <w:shd w:val="clear" w:color="000000" w:fill="FFFFFF"/>
            <w:vAlign w:val="center"/>
            <w:hideMark/>
          </w:tcPr>
          <w:p w14:paraId="0F12C2A4" w14:textId="77777777" w:rsidR="000B2114" w:rsidRDefault="000B2114">
            <w:pPr>
              <w:jc w:val="right"/>
              <w:rPr>
                <w:rFonts w:ascii="Arial Narrow" w:hAnsi="Arial Narrow" w:cs="Calibri"/>
                <w:color w:val="000000"/>
                <w:sz w:val="18"/>
                <w:szCs w:val="18"/>
              </w:rPr>
            </w:pPr>
            <w:r>
              <w:rPr>
                <w:rFonts w:ascii="Arial Narrow" w:hAnsi="Arial Narrow" w:cs="Calibri"/>
                <w:color w:val="000000"/>
                <w:sz w:val="18"/>
                <w:szCs w:val="18"/>
              </w:rPr>
              <w:t>16</w:t>
            </w:r>
          </w:p>
        </w:tc>
        <w:tc>
          <w:tcPr>
            <w:tcW w:w="913" w:type="dxa"/>
            <w:tcBorders>
              <w:top w:val="nil"/>
              <w:left w:val="nil"/>
              <w:bottom w:val="single" w:sz="4" w:space="0" w:color="auto"/>
              <w:right w:val="nil"/>
            </w:tcBorders>
            <w:shd w:val="clear" w:color="000000" w:fill="D9D9D9"/>
            <w:vAlign w:val="center"/>
            <w:hideMark/>
          </w:tcPr>
          <w:p w14:paraId="5DC1BA62" w14:textId="77777777" w:rsidR="000B2114" w:rsidRDefault="000B2114">
            <w:pPr>
              <w:jc w:val="right"/>
              <w:rPr>
                <w:rFonts w:ascii="Arial Narrow" w:hAnsi="Arial Narrow" w:cs="Calibri"/>
                <w:color w:val="000000"/>
                <w:sz w:val="18"/>
                <w:szCs w:val="18"/>
              </w:rPr>
            </w:pPr>
            <w:r>
              <w:rPr>
                <w:rFonts w:ascii="Arial Narrow" w:hAnsi="Arial Narrow" w:cs="Calibri"/>
                <w:color w:val="000000"/>
                <w:sz w:val="18"/>
                <w:szCs w:val="18"/>
              </w:rPr>
              <w:t>580</w:t>
            </w:r>
          </w:p>
        </w:tc>
        <w:tc>
          <w:tcPr>
            <w:tcW w:w="914" w:type="dxa"/>
            <w:tcBorders>
              <w:top w:val="nil"/>
              <w:left w:val="nil"/>
              <w:bottom w:val="single" w:sz="4" w:space="0" w:color="auto"/>
              <w:right w:val="nil"/>
            </w:tcBorders>
            <w:shd w:val="clear" w:color="000000" w:fill="FFFFFF"/>
            <w:vAlign w:val="center"/>
            <w:hideMark/>
          </w:tcPr>
          <w:p w14:paraId="6C183344" w14:textId="77777777" w:rsidR="000B2114" w:rsidRDefault="000B2114">
            <w:pPr>
              <w:jc w:val="right"/>
              <w:rPr>
                <w:rFonts w:ascii="Arial Narrow" w:hAnsi="Arial Narrow" w:cs="Calibri"/>
                <w:color w:val="000000"/>
                <w:sz w:val="18"/>
                <w:szCs w:val="18"/>
              </w:rPr>
            </w:pPr>
            <w:r>
              <w:rPr>
                <w:rFonts w:ascii="Arial Narrow" w:hAnsi="Arial Narrow" w:cs="Calibri"/>
                <w:color w:val="000000"/>
                <w:sz w:val="18"/>
                <w:szCs w:val="18"/>
              </w:rPr>
              <w:t>305</w:t>
            </w:r>
          </w:p>
        </w:tc>
        <w:tc>
          <w:tcPr>
            <w:tcW w:w="904" w:type="dxa"/>
            <w:tcBorders>
              <w:top w:val="nil"/>
              <w:left w:val="nil"/>
              <w:bottom w:val="single" w:sz="4" w:space="0" w:color="auto"/>
              <w:right w:val="nil"/>
            </w:tcBorders>
            <w:shd w:val="clear" w:color="000000" w:fill="D9D9D9"/>
            <w:vAlign w:val="center"/>
            <w:hideMark/>
          </w:tcPr>
          <w:p w14:paraId="7773A698" w14:textId="77777777" w:rsidR="000B2114" w:rsidRDefault="000B2114">
            <w:pPr>
              <w:jc w:val="right"/>
              <w:rPr>
                <w:rFonts w:ascii="Arial Narrow" w:hAnsi="Arial Narrow" w:cs="Calibri"/>
                <w:color w:val="000000"/>
                <w:sz w:val="18"/>
                <w:szCs w:val="18"/>
              </w:rPr>
            </w:pPr>
            <w:r>
              <w:rPr>
                <w:rFonts w:ascii="Arial Narrow" w:hAnsi="Arial Narrow" w:cs="Calibri"/>
                <w:color w:val="000000"/>
                <w:sz w:val="18"/>
                <w:szCs w:val="18"/>
              </w:rPr>
              <w:t>7</w:t>
            </w:r>
          </w:p>
        </w:tc>
        <w:tc>
          <w:tcPr>
            <w:tcW w:w="913" w:type="dxa"/>
            <w:tcBorders>
              <w:top w:val="nil"/>
              <w:left w:val="nil"/>
              <w:bottom w:val="single" w:sz="4" w:space="0" w:color="auto"/>
              <w:right w:val="nil"/>
            </w:tcBorders>
            <w:shd w:val="clear" w:color="000000" w:fill="FFFFFF"/>
            <w:vAlign w:val="center"/>
            <w:hideMark/>
          </w:tcPr>
          <w:p w14:paraId="2ACB0ED4" w14:textId="77777777" w:rsidR="000B2114" w:rsidRDefault="000B2114">
            <w:pPr>
              <w:jc w:val="right"/>
              <w:rPr>
                <w:rFonts w:ascii="Arial Narrow" w:hAnsi="Arial Narrow" w:cs="Calibri"/>
                <w:color w:val="000000"/>
                <w:sz w:val="18"/>
                <w:szCs w:val="18"/>
              </w:rPr>
            </w:pPr>
            <w:r>
              <w:rPr>
                <w:rFonts w:ascii="Arial Narrow" w:hAnsi="Arial Narrow" w:cs="Calibri"/>
                <w:color w:val="000000"/>
                <w:sz w:val="18"/>
                <w:szCs w:val="18"/>
              </w:rPr>
              <w:t>505</w:t>
            </w:r>
          </w:p>
        </w:tc>
        <w:tc>
          <w:tcPr>
            <w:tcW w:w="924" w:type="dxa"/>
            <w:tcBorders>
              <w:top w:val="nil"/>
              <w:left w:val="nil"/>
              <w:bottom w:val="single" w:sz="4" w:space="0" w:color="auto"/>
              <w:right w:val="nil"/>
            </w:tcBorders>
            <w:shd w:val="clear" w:color="000000" w:fill="D9D9D9"/>
            <w:vAlign w:val="center"/>
            <w:hideMark/>
          </w:tcPr>
          <w:p w14:paraId="4B04AD5D" w14:textId="77777777" w:rsidR="000B2114" w:rsidRDefault="000B2114">
            <w:pPr>
              <w:jc w:val="right"/>
              <w:rPr>
                <w:rFonts w:ascii="Arial Narrow" w:hAnsi="Arial Narrow" w:cs="Calibri"/>
                <w:color w:val="000000"/>
                <w:sz w:val="18"/>
                <w:szCs w:val="18"/>
              </w:rPr>
            </w:pPr>
            <w:r>
              <w:rPr>
                <w:rFonts w:ascii="Arial Narrow" w:hAnsi="Arial Narrow" w:cs="Calibri"/>
                <w:color w:val="000000"/>
                <w:sz w:val="18"/>
                <w:szCs w:val="18"/>
              </w:rPr>
              <w:t>9</w:t>
            </w:r>
          </w:p>
        </w:tc>
        <w:tc>
          <w:tcPr>
            <w:tcW w:w="923" w:type="dxa"/>
            <w:tcBorders>
              <w:top w:val="nil"/>
              <w:left w:val="nil"/>
              <w:bottom w:val="single" w:sz="4" w:space="0" w:color="auto"/>
              <w:right w:val="nil"/>
            </w:tcBorders>
            <w:shd w:val="clear" w:color="000000" w:fill="FFFFFF"/>
            <w:vAlign w:val="center"/>
            <w:hideMark/>
          </w:tcPr>
          <w:p w14:paraId="0D7B942B" w14:textId="77777777" w:rsidR="000B2114" w:rsidRDefault="000B2114">
            <w:pPr>
              <w:jc w:val="right"/>
              <w:rPr>
                <w:rFonts w:ascii="Arial Narrow" w:hAnsi="Arial Narrow" w:cs="Calibri"/>
                <w:color w:val="000000"/>
                <w:sz w:val="18"/>
                <w:szCs w:val="18"/>
              </w:rPr>
            </w:pPr>
            <w:r>
              <w:rPr>
                <w:rFonts w:ascii="Arial Narrow" w:hAnsi="Arial Narrow" w:cs="Calibri"/>
                <w:color w:val="000000"/>
                <w:sz w:val="18"/>
                <w:szCs w:val="18"/>
              </w:rPr>
              <w:t>23,1</w:t>
            </w:r>
          </w:p>
        </w:tc>
        <w:tc>
          <w:tcPr>
            <w:tcW w:w="923" w:type="dxa"/>
            <w:tcBorders>
              <w:top w:val="nil"/>
              <w:left w:val="nil"/>
              <w:bottom w:val="single" w:sz="4" w:space="0" w:color="auto"/>
              <w:right w:val="nil"/>
            </w:tcBorders>
            <w:shd w:val="clear" w:color="000000" w:fill="D9D9D9"/>
            <w:vAlign w:val="center"/>
            <w:hideMark/>
          </w:tcPr>
          <w:p w14:paraId="58EFDEC1" w14:textId="77777777" w:rsidR="000B2114" w:rsidRDefault="000B2114">
            <w:pPr>
              <w:jc w:val="right"/>
              <w:rPr>
                <w:rFonts w:ascii="Arial Narrow" w:hAnsi="Arial Narrow" w:cs="Calibri"/>
                <w:color w:val="000000"/>
                <w:sz w:val="18"/>
                <w:szCs w:val="18"/>
              </w:rPr>
            </w:pPr>
            <w:r>
              <w:rPr>
                <w:rFonts w:ascii="Arial Narrow" w:hAnsi="Arial Narrow" w:cs="Calibri"/>
                <w:color w:val="000000"/>
                <w:sz w:val="18"/>
                <w:szCs w:val="18"/>
              </w:rPr>
              <w:t>-30,4</w:t>
            </w:r>
          </w:p>
        </w:tc>
        <w:tc>
          <w:tcPr>
            <w:tcW w:w="919" w:type="dxa"/>
            <w:tcBorders>
              <w:top w:val="nil"/>
              <w:left w:val="nil"/>
              <w:bottom w:val="single" w:sz="4" w:space="0" w:color="auto"/>
              <w:right w:val="nil"/>
            </w:tcBorders>
            <w:shd w:val="clear" w:color="000000" w:fill="FFFFFF"/>
            <w:vAlign w:val="center"/>
            <w:hideMark/>
          </w:tcPr>
          <w:p w14:paraId="0541879B" w14:textId="77777777" w:rsidR="000B2114" w:rsidRDefault="000B2114">
            <w:pPr>
              <w:jc w:val="right"/>
              <w:rPr>
                <w:rFonts w:ascii="Arial Narrow" w:hAnsi="Arial Narrow" w:cs="Calibri"/>
                <w:color w:val="000000"/>
                <w:sz w:val="18"/>
                <w:szCs w:val="18"/>
              </w:rPr>
            </w:pPr>
            <w:r>
              <w:rPr>
                <w:rFonts w:ascii="Arial Narrow" w:hAnsi="Arial Narrow" w:cs="Calibri"/>
                <w:color w:val="000000"/>
                <w:sz w:val="18"/>
                <w:szCs w:val="18"/>
              </w:rPr>
              <w:t>8,3</w:t>
            </w:r>
          </w:p>
        </w:tc>
        <w:tc>
          <w:tcPr>
            <w:tcW w:w="141" w:type="dxa"/>
            <w:vAlign w:val="center"/>
            <w:hideMark/>
          </w:tcPr>
          <w:p w14:paraId="3DFBF197" w14:textId="77777777" w:rsidR="000B2114" w:rsidRDefault="000B2114">
            <w:pPr>
              <w:rPr>
                <w:sz w:val="20"/>
                <w:szCs w:val="20"/>
              </w:rPr>
            </w:pPr>
          </w:p>
        </w:tc>
      </w:tr>
      <w:tr w:rsidR="000B2114" w14:paraId="524FB52F" w14:textId="77777777" w:rsidTr="001917AF">
        <w:trPr>
          <w:trHeight w:val="272"/>
        </w:trPr>
        <w:tc>
          <w:tcPr>
            <w:tcW w:w="930" w:type="dxa"/>
            <w:tcBorders>
              <w:top w:val="nil"/>
              <w:left w:val="nil"/>
              <w:bottom w:val="single" w:sz="4" w:space="0" w:color="auto"/>
              <w:right w:val="nil"/>
            </w:tcBorders>
            <w:shd w:val="clear" w:color="000000" w:fill="A71433"/>
            <w:vAlign w:val="center"/>
            <w:hideMark/>
          </w:tcPr>
          <w:p w14:paraId="37E69230" w14:textId="77777777" w:rsidR="000B2114" w:rsidRDefault="000B2114">
            <w:pPr>
              <w:rPr>
                <w:rFonts w:ascii="Arial Narrow" w:hAnsi="Arial Narrow" w:cs="Calibri"/>
                <w:b/>
                <w:bCs/>
                <w:color w:val="FFFFFF"/>
                <w:sz w:val="18"/>
                <w:szCs w:val="18"/>
              </w:rPr>
            </w:pPr>
            <w:r>
              <w:rPr>
                <w:rFonts w:ascii="Arial Narrow" w:hAnsi="Arial Narrow" w:cs="Calibri"/>
                <w:b/>
                <w:bCs/>
                <w:color w:val="FFFFFF"/>
                <w:sz w:val="18"/>
                <w:szCs w:val="18"/>
              </w:rPr>
              <w:t>Basilicata</w:t>
            </w:r>
          </w:p>
        </w:tc>
        <w:tc>
          <w:tcPr>
            <w:tcW w:w="915" w:type="dxa"/>
            <w:tcBorders>
              <w:top w:val="nil"/>
              <w:left w:val="nil"/>
              <w:bottom w:val="single" w:sz="4" w:space="0" w:color="auto"/>
              <w:right w:val="nil"/>
            </w:tcBorders>
            <w:shd w:val="clear" w:color="000000" w:fill="A71433"/>
            <w:vAlign w:val="center"/>
            <w:hideMark/>
          </w:tcPr>
          <w:p w14:paraId="23830C10" w14:textId="77777777" w:rsidR="000B2114" w:rsidRDefault="000B2114">
            <w:pPr>
              <w:jc w:val="right"/>
              <w:rPr>
                <w:rFonts w:ascii="Arial Narrow" w:hAnsi="Arial Narrow" w:cs="Calibri"/>
                <w:b/>
                <w:bCs/>
                <w:color w:val="FFFFFF"/>
                <w:sz w:val="18"/>
                <w:szCs w:val="18"/>
              </w:rPr>
            </w:pPr>
            <w:r>
              <w:rPr>
                <w:rFonts w:ascii="Arial Narrow" w:hAnsi="Arial Narrow" w:cs="Calibri"/>
                <w:b/>
                <w:bCs/>
                <w:color w:val="FFFFFF"/>
                <w:sz w:val="18"/>
                <w:szCs w:val="18"/>
              </w:rPr>
              <w:t>918</w:t>
            </w:r>
          </w:p>
        </w:tc>
        <w:tc>
          <w:tcPr>
            <w:tcW w:w="905" w:type="dxa"/>
            <w:tcBorders>
              <w:top w:val="nil"/>
              <w:left w:val="nil"/>
              <w:bottom w:val="single" w:sz="4" w:space="0" w:color="auto"/>
              <w:right w:val="nil"/>
            </w:tcBorders>
            <w:shd w:val="clear" w:color="000000" w:fill="A71433"/>
            <w:vAlign w:val="center"/>
            <w:hideMark/>
          </w:tcPr>
          <w:p w14:paraId="7572865E" w14:textId="77777777" w:rsidR="000B2114" w:rsidRDefault="000B2114">
            <w:pPr>
              <w:jc w:val="right"/>
              <w:rPr>
                <w:rFonts w:ascii="Arial Narrow" w:hAnsi="Arial Narrow" w:cs="Calibri"/>
                <w:b/>
                <w:bCs/>
                <w:color w:val="FFFFFF"/>
                <w:sz w:val="18"/>
                <w:szCs w:val="18"/>
              </w:rPr>
            </w:pPr>
            <w:r>
              <w:rPr>
                <w:rFonts w:ascii="Arial Narrow" w:hAnsi="Arial Narrow" w:cs="Calibri"/>
                <w:b/>
                <w:bCs/>
                <w:color w:val="FFFFFF"/>
                <w:sz w:val="18"/>
                <w:szCs w:val="18"/>
              </w:rPr>
              <w:t>36</w:t>
            </w:r>
          </w:p>
        </w:tc>
        <w:tc>
          <w:tcPr>
            <w:tcW w:w="913" w:type="dxa"/>
            <w:tcBorders>
              <w:top w:val="nil"/>
              <w:left w:val="nil"/>
              <w:bottom w:val="single" w:sz="4" w:space="0" w:color="auto"/>
              <w:right w:val="nil"/>
            </w:tcBorders>
            <w:shd w:val="clear" w:color="000000" w:fill="A71433"/>
            <w:vAlign w:val="center"/>
            <w:hideMark/>
          </w:tcPr>
          <w:p w14:paraId="4599CC11" w14:textId="77777777" w:rsidR="000B2114" w:rsidRDefault="000B2114">
            <w:pPr>
              <w:jc w:val="right"/>
              <w:rPr>
                <w:rFonts w:ascii="Arial Narrow" w:hAnsi="Arial Narrow" w:cs="Calibri"/>
                <w:b/>
                <w:bCs/>
                <w:color w:val="FFFFFF"/>
                <w:sz w:val="18"/>
                <w:szCs w:val="18"/>
              </w:rPr>
            </w:pPr>
            <w:r>
              <w:rPr>
                <w:rFonts w:ascii="Arial Narrow" w:hAnsi="Arial Narrow" w:cs="Calibri"/>
                <w:b/>
                <w:bCs/>
                <w:color w:val="FFFFFF"/>
                <w:sz w:val="18"/>
                <w:szCs w:val="18"/>
              </w:rPr>
              <w:t>1.333</w:t>
            </w:r>
          </w:p>
        </w:tc>
        <w:tc>
          <w:tcPr>
            <w:tcW w:w="914" w:type="dxa"/>
            <w:tcBorders>
              <w:top w:val="nil"/>
              <w:left w:val="nil"/>
              <w:bottom w:val="single" w:sz="4" w:space="0" w:color="auto"/>
              <w:right w:val="nil"/>
            </w:tcBorders>
            <w:shd w:val="clear" w:color="000000" w:fill="A71433"/>
            <w:vAlign w:val="center"/>
            <w:hideMark/>
          </w:tcPr>
          <w:p w14:paraId="38369532" w14:textId="77777777" w:rsidR="000B2114" w:rsidRDefault="000B2114">
            <w:pPr>
              <w:jc w:val="right"/>
              <w:rPr>
                <w:rFonts w:ascii="Arial Narrow" w:hAnsi="Arial Narrow" w:cs="Calibri"/>
                <w:b/>
                <w:bCs/>
                <w:color w:val="FFFFFF"/>
                <w:sz w:val="18"/>
                <w:szCs w:val="18"/>
              </w:rPr>
            </w:pPr>
            <w:r>
              <w:rPr>
                <w:rFonts w:ascii="Arial Narrow" w:hAnsi="Arial Narrow" w:cs="Calibri"/>
                <w:b/>
                <w:bCs/>
                <w:color w:val="FFFFFF"/>
                <w:sz w:val="18"/>
                <w:szCs w:val="18"/>
              </w:rPr>
              <w:t>677</w:t>
            </w:r>
          </w:p>
        </w:tc>
        <w:tc>
          <w:tcPr>
            <w:tcW w:w="904" w:type="dxa"/>
            <w:tcBorders>
              <w:top w:val="nil"/>
              <w:left w:val="nil"/>
              <w:bottom w:val="single" w:sz="4" w:space="0" w:color="auto"/>
              <w:right w:val="nil"/>
            </w:tcBorders>
            <w:shd w:val="clear" w:color="000000" w:fill="A71433"/>
            <w:vAlign w:val="center"/>
            <w:hideMark/>
          </w:tcPr>
          <w:p w14:paraId="21068405" w14:textId="77777777" w:rsidR="000B2114" w:rsidRDefault="000B2114">
            <w:pPr>
              <w:jc w:val="right"/>
              <w:rPr>
                <w:rFonts w:ascii="Arial Narrow" w:hAnsi="Arial Narrow" w:cs="Calibri"/>
                <w:b/>
                <w:bCs/>
                <w:color w:val="FFFFFF"/>
                <w:sz w:val="18"/>
                <w:szCs w:val="18"/>
              </w:rPr>
            </w:pPr>
            <w:r>
              <w:rPr>
                <w:rFonts w:ascii="Arial Narrow" w:hAnsi="Arial Narrow" w:cs="Calibri"/>
                <w:b/>
                <w:bCs/>
                <w:color w:val="FFFFFF"/>
                <w:sz w:val="18"/>
                <w:szCs w:val="18"/>
              </w:rPr>
              <w:t>18</w:t>
            </w:r>
          </w:p>
        </w:tc>
        <w:tc>
          <w:tcPr>
            <w:tcW w:w="913" w:type="dxa"/>
            <w:tcBorders>
              <w:top w:val="nil"/>
              <w:left w:val="nil"/>
              <w:bottom w:val="single" w:sz="4" w:space="0" w:color="auto"/>
              <w:right w:val="nil"/>
            </w:tcBorders>
            <w:shd w:val="clear" w:color="000000" w:fill="A71433"/>
            <w:vAlign w:val="center"/>
            <w:hideMark/>
          </w:tcPr>
          <w:p w14:paraId="12037A07" w14:textId="77777777" w:rsidR="000B2114" w:rsidRDefault="000B2114">
            <w:pPr>
              <w:jc w:val="right"/>
              <w:rPr>
                <w:rFonts w:ascii="Arial Narrow" w:hAnsi="Arial Narrow" w:cs="Calibri"/>
                <w:b/>
                <w:bCs/>
                <w:color w:val="FFFFFF"/>
                <w:sz w:val="18"/>
                <w:szCs w:val="18"/>
              </w:rPr>
            </w:pPr>
            <w:r>
              <w:rPr>
                <w:rFonts w:ascii="Arial Narrow" w:hAnsi="Arial Narrow" w:cs="Calibri"/>
                <w:b/>
                <w:bCs/>
                <w:color w:val="FFFFFF"/>
                <w:sz w:val="18"/>
                <w:szCs w:val="18"/>
              </w:rPr>
              <w:t>1.056</w:t>
            </w:r>
          </w:p>
        </w:tc>
        <w:tc>
          <w:tcPr>
            <w:tcW w:w="924" w:type="dxa"/>
            <w:tcBorders>
              <w:top w:val="nil"/>
              <w:left w:val="nil"/>
              <w:bottom w:val="single" w:sz="4" w:space="0" w:color="auto"/>
              <w:right w:val="nil"/>
            </w:tcBorders>
            <w:shd w:val="clear" w:color="000000" w:fill="A71433"/>
            <w:vAlign w:val="center"/>
            <w:hideMark/>
          </w:tcPr>
          <w:p w14:paraId="2A6D1997" w14:textId="77777777" w:rsidR="000B2114" w:rsidRDefault="000B2114">
            <w:pPr>
              <w:jc w:val="right"/>
              <w:rPr>
                <w:rFonts w:ascii="Arial Narrow" w:hAnsi="Arial Narrow" w:cs="Calibri"/>
                <w:b/>
                <w:bCs/>
                <w:color w:val="FFFFFF"/>
                <w:sz w:val="18"/>
                <w:szCs w:val="18"/>
              </w:rPr>
            </w:pPr>
            <w:r>
              <w:rPr>
                <w:rFonts w:ascii="Arial Narrow" w:hAnsi="Arial Narrow" w:cs="Calibri"/>
                <w:b/>
                <w:bCs/>
                <w:color w:val="FFFFFF"/>
                <w:sz w:val="18"/>
                <w:szCs w:val="18"/>
              </w:rPr>
              <w:t>18</w:t>
            </w:r>
          </w:p>
        </w:tc>
        <w:tc>
          <w:tcPr>
            <w:tcW w:w="923" w:type="dxa"/>
            <w:tcBorders>
              <w:top w:val="nil"/>
              <w:left w:val="nil"/>
              <w:bottom w:val="single" w:sz="4" w:space="0" w:color="auto"/>
              <w:right w:val="nil"/>
            </w:tcBorders>
            <w:shd w:val="clear" w:color="000000" w:fill="A71433"/>
            <w:vAlign w:val="center"/>
            <w:hideMark/>
          </w:tcPr>
          <w:p w14:paraId="367B6E6D" w14:textId="77777777" w:rsidR="000B2114" w:rsidRDefault="000B2114">
            <w:pPr>
              <w:jc w:val="right"/>
              <w:rPr>
                <w:rFonts w:ascii="Arial Narrow" w:hAnsi="Arial Narrow" w:cs="Calibri"/>
                <w:b/>
                <w:bCs/>
                <w:color w:val="FFFFFF"/>
                <w:sz w:val="18"/>
                <w:szCs w:val="18"/>
              </w:rPr>
            </w:pPr>
            <w:r>
              <w:rPr>
                <w:rFonts w:ascii="Arial Narrow" w:hAnsi="Arial Narrow" w:cs="Calibri"/>
                <w:b/>
                <w:bCs/>
                <w:color w:val="FFFFFF"/>
                <w:sz w:val="18"/>
                <w:szCs w:val="18"/>
              </w:rPr>
              <w:t>24,1</w:t>
            </w:r>
          </w:p>
        </w:tc>
        <w:tc>
          <w:tcPr>
            <w:tcW w:w="923" w:type="dxa"/>
            <w:tcBorders>
              <w:top w:val="nil"/>
              <w:left w:val="nil"/>
              <w:bottom w:val="single" w:sz="4" w:space="0" w:color="auto"/>
              <w:right w:val="nil"/>
            </w:tcBorders>
            <w:shd w:val="clear" w:color="000000" w:fill="A71433"/>
            <w:vAlign w:val="center"/>
            <w:hideMark/>
          </w:tcPr>
          <w:p w14:paraId="38482AC2" w14:textId="77777777" w:rsidR="000B2114" w:rsidRDefault="000B2114">
            <w:pPr>
              <w:jc w:val="right"/>
              <w:rPr>
                <w:rFonts w:ascii="Arial Narrow" w:hAnsi="Arial Narrow" w:cs="Calibri"/>
                <w:b/>
                <w:bCs/>
                <w:color w:val="FFFFFF"/>
                <w:sz w:val="18"/>
                <w:szCs w:val="18"/>
              </w:rPr>
            </w:pPr>
            <w:r>
              <w:rPr>
                <w:rFonts w:ascii="Arial Narrow" w:hAnsi="Arial Narrow" w:cs="Calibri"/>
                <w:b/>
                <w:bCs/>
                <w:color w:val="FFFFFF"/>
                <w:sz w:val="18"/>
                <w:szCs w:val="18"/>
              </w:rPr>
              <w:t>-25,0</w:t>
            </w:r>
          </w:p>
        </w:tc>
        <w:tc>
          <w:tcPr>
            <w:tcW w:w="919" w:type="dxa"/>
            <w:tcBorders>
              <w:top w:val="nil"/>
              <w:left w:val="nil"/>
              <w:bottom w:val="single" w:sz="4" w:space="0" w:color="auto"/>
              <w:right w:val="nil"/>
            </w:tcBorders>
            <w:shd w:val="clear" w:color="000000" w:fill="A71433"/>
            <w:vAlign w:val="center"/>
            <w:hideMark/>
          </w:tcPr>
          <w:p w14:paraId="439D222D" w14:textId="77777777" w:rsidR="000B2114" w:rsidRDefault="000B2114">
            <w:pPr>
              <w:jc w:val="right"/>
              <w:rPr>
                <w:rFonts w:ascii="Arial Narrow" w:hAnsi="Arial Narrow" w:cs="Calibri"/>
                <w:b/>
                <w:bCs/>
                <w:color w:val="FFFFFF"/>
                <w:sz w:val="18"/>
                <w:szCs w:val="18"/>
              </w:rPr>
            </w:pPr>
            <w:r>
              <w:rPr>
                <w:rFonts w:ascii="Arial Narrow" w:hAnsi="Arial Narrow" w:cs="Calibri"/>
                <w:b/>
                <w:bCs/>
                <w:color w:val="FFFFFF"/>
                <w:sz w:val="18"/>
                <w:szCs w:val="18"/>
              </w:rPr>
              <w:t>6,6</w:t>
            </w:r>
          </w:p>
        </w:tc>
        <w:tc>
          <w:tcPr>
            <w:tcW w:w="141" w:type="dxa"/>
            <w:vAlign w:val="center"/>
            <w:hideMark/>
          </w:tcPr>
          <w:p w14:paraId="7E35000C" w14:textId="77777777" w:rsidR="000B2114" w:rsidRDefault="000B2114">
            <w:pPr>
              <w:rPr>
                <w:sz w:val="20"/>
                <w:szCs w:val="20"/>
              </w:rPr>
            </w:pPr>
          </w:p>
        </w:tc>
      </w:tr>
      <w:tr w:rsidR="000B2114" w14:paraId="4E2FEE79" w14:textId="77777777" w:rsidTr="001917AF">
        <w:trPr>
          <w:trHeight w:val="272"/>
        </w:trPr>
        <w:tc>
          <w:tcPr>
            <w:tcW w:w="930" w:type="dxa"/>
            <w:tcBorders>
              <w:top w:val="nil"/>
              <w:left w:val="nil"/>
              <w:bottom w:val="single" w:sz="4" w:space="0" w:color="auto"/>
              <w:right w:val="nil"/>
            </w:tcBorders>
            <w:shd w:val="clear" w:color="000000" w:fill="A71433"/>
            <w:vAlign w:val="center"/>
            <w:hideMark/>
          </w:tcPr>
          <w:p w14:paraId="56E6AA68" w14:textId="77777777" w:rsidR="000B2114" w:rsidRDefault="000B2114">
            <w:pPr>
              <w:rPr>
                <w:rFonts w:ascii="Arial Narrow" w:hAnsi="Arial Narrow" w:cs="Calibri"/>
                <w:b/>
                <w:bCs/>
                <w:color w:val="FFFFFF"/>
                <w:sz w:val="18"/>
                <w:szCs w:val="18"/>
              </w:rPr>
            </w:pPr>
            <w:r>
              <w:rPr>
                <w:rFonts w:ascii="Arial Narrow" w:hAnsi="Arial Narrow" w:cs="Calibri"/>
                <w:b/>
                <w:bCs/>
                <w:color w:val="FFFFFF"/>
                <w:sz w:val="18"/>
                <w:szCs w:val="18"/>
              </w:rPr>
              <w:t>Italia</w:t>
            </w:r>
          </w:p>
        </w:tc>
        <w:tc>
          <w:tcPr>
            <w:tcW w:w="915" w:type="dxa"/>
            <w:tcBorders>
              <w:top w:val="nil"/>
              <w:left w:val="nil"/>
              <w:bottom w:val="single" w:sz="4" w:space="0" w:color="auto"/>
              <w:right w:val="nil"/>
            </w:tcBorders>
            <w:shd w:val="clear" w:color="000000" w:fill="A71433"/>
            <w:vAlign w:val="center"/>
            <w:hideMark/>
          </w:tcPr>
          <w:p w14:paraId="6A244BEB" w14:textId="77777777" w:rsidR="000B2114" w:rsidRDefault="000B2114">
            <w:pPr>
              <w:jc w:val="right"/>
              <w:rPr>
                <w:rFonts w:ascii="Arial Narrow" w:hAnsi="Arial Narrow" w:cs="Calibri"/>
                <w:b/>
                <w:bCs/>
                <w:color w:val="FFFFFF"/>
                <w:sz w:val="18"/>
                <w:szCs w:val="18"/>
              </w:rPr>
            </w:pPr>
            <w:r>
              <w:rPr>
                <w:rFonts w:ascii="Arial Narrow" w:hAnsi="Arial Narrow" w:cs="Calibri"/>
                <w:b/>
                <w:bCs/>
                <w:color w:val="FFFFFF"/>
                <w:sz w:val="18"/>
                <w:szCs w:val="18"/>
              </w:rPr>
              <w:t>151.875</w:t>
            </w:r>
          </w:p>
        </w:tc>
        <w:tc>
          <w:tcPr>
            <w:tcW w:w="905" w:type="dxa"/>
            <w:tcBorders>
              <w:top w:val="nil"/>
              <w:left w:val="nil"/>
              <w:bottom w:val="single" w:sz="4" w:space="0" w:color="auto"/>
              <w:right w:val="nil"/>
            </w:tcBorders>
            <w:shd w:val="clear" w:color="000000" w:fill="A71433"/>
            <w:vAlign w:val="center"/>
            <w:hideMark/>
          </w:tcPr>
          <w:p w14:paraId="0D81650B" w14:textId="77777777" w:rsidR="000B2114" w:rsidRDefault="000B2114">
            <w:pPr>
              <w:jc w:val="right"/>
              <w:rPr>
                <w:rFonts w:ascii="Arial Narrow" w:hAnsi="Arial Narrow" w:cs="Calibri"/>
                <w:b/>
                <w:bCs/>
                <w:color w:val="FFFFFF"/>
                <w:sz w:val="18"/>
                <w:szCs w:val="18"/>
              </w:rPr>
            </w:pPr>
            <w:r>
              <w:rPr>
                <w:rFonts w:ascii="Arial Narrow" w:hAnsi="Arial Narrow" w:cs="Calibri"/>
                <w:b/>
                <w:bCs/>
                <w:color w:val="FFFFFF"/>
                <w:sz w:val="18"/>
                <w:szCs w:val="18"/>
              </w:rPr>
              <w:t>2.875</w:t>
            </w:r>
          </w:p>
        </w:tc>
        <w:tc>
          <w:tcPr>
            <w:tcW w:w="913" w:type="dxa"/>
            <w:tcBorders>
              <w:top w:val="nil"/>
              <w:left w:val="nil"/>
              <w:bottom w:val="single" w:sz="4" w:space="0" w:color="auto"/>
              <w:right w:val="nil"/>
            </w:tcBorders>
            <w:shd w:val="clear" w:color="000000" w:fill="A71433"/>
            <w:vAlign w:val="center"/>
            <w:hideMark/>
          </w:tcPr>
          <w:p w14:paraId="380E1556" w14:textId="77777777" w:rsidR="000B2114" w:rsidRDefault="000B2114">
            <w:pPr>
              <w:jc w:val="right"/>
              <w:rPr>
                <w:rFonts w:ascii="Arial Narrow" w:hAnsi="Arial Narrow" w:cs="Calibri"/>
                <w:b/>
                <w:bCs/>
                <w:color w:val="FFFFFF"/>
                <w:sz w:val="18"/>
                <w:szCs w:val="18"/>
              </w:rPr>
            </w:pPr>
            <w:r>
              <w:rPr>
                <w:rFonts w:ascii="Arial Narrow" w:hAnsi="Arial Narrow" w:cs="Calibri"/>
                <w:b/>
                <w:bCs/>
                <w:color w:val="FFFFFF"/>
                <w:sz w:val="18"/>
                <w:szCs w:val="18"/>
              </w:rPr>
              <w:t>204.728</w:t>
            </w:r>
          </w:p>
        </w:tc>
        <w:tc>
          <w:tcPr>
            <w:tcW w:w="914" w:type="dxa"/>
            <w:tcBorders>
              <w:top w:val="nil"/>
              <w:left w:val="nil"/>
              <w:bottom w:val="single" w:sz="4" w:space="0" w:color="auto"/>
              <w:right w:val="nil"/>
            </w:tcBorders>
            <w:shd w:val="clear" w:color="000000" w:fill="A71433"/>
            <w:vAlign w:val="center"/>
            <w:hideMark/>
          </w:tcPr>
          <w:p w14:paraId="0F5562E1" w14:textId="77777777" w:rsidR="000B2114" w:rsidRDefault="000B2114">
            <w:pPr>
              <w:jc w:val="right"/>
              <w:rPr>
                <w:rFonts w:ascii="Arial Narrow" w:hAnsi="Arial Narrow" w:cs="Calibri"/>
                <w:b/>
                <w:bCs/>
                <w:color w:val="FFFFFF"/>
                <w:sz w:val="18"/>
                <w:szCs w:val="18"/>
              </w:rPr>
            </w:pPr>
            <w:r>
              <w:rPr>
                <w:rFonts w:ascii="Arial Narrow" w:hAnsi="Arial Narrow" w:cs="Calibri"/>
                <w:b/>
                <w:bCs/>
                <w:color w:val="FFFFFF"/>
                <w:sz w:val="18"/>
                <w:szCs w:val="18"/>
              </w:rPr>
              <w:t>118.298</w:t>
            </w:r>
          </w:p>
        </w:tc>
        <w:tc>
          <w:tcPr>
            <w:tcW w:w="904" w:type="dxa"/>
            <w:tcBorders>
              <w:top w:val="nil"/>
              <w:left w:val="nil"/>
              <w:bottom w:val="single" w:sz="4" w:space="0" w:color="auto"/>
              <w:right w:val="nil"/>
            </w:tcBorders>
            <w:shd w:val="clear" w:color="000000" w:fill="A71433"/>
            <w:vAlign w:val="center"/>
            <w:hideMark/>
          </w:tcPr>
          <w:p w14:paraId="59BF1506" w14:textId="77777777" w:rsidR="000B2114" w:rsidRDefault="000B2114">
            <w:pPr>
              <w:jc w:val="right"/>
              <w:rPr>
                <w:rFonts w:ascii="Arial Narrow" w:hAnsi="Arial Narrow" w:cs="Calibri"/>
                <w:b/>
                <w:bCs/>
                <w:color w:val="FFFFFF"/>
                <w:sz w:val="18"/>
                <w:szCs w:val="18"/>
              </w:rPr>
            </w:pPr>
            <w:r>
              <w:rPr>
                <w:rFonts w:ascii="Arial Narrow" w:hAnsi="Arial Narrow" w:cs="Calibri"/>
                <w:b/>
                <w:bCs/>
                <w:color w:val="FFFFFF"/>
                <w:sz w:val="18"/>
                <w:szCs w:val="18"/>
              </w:rPr>
              <w:t>2.395</w:t>
            </w:r>
          </w:p>
        </w:tc>
        <w:tc>
          <w:tcPr>
            <w:tcW w:w="913" w:type="dxa"/>
            <w:tcBorders>
              <w:top w:val="nil"/>
              <w:left w:val="nil"/>
              <w:bottom w:val="single" w:sz="4" w:space="0" w:color="auto"/>
              <w:right w:val="nil"/>
            </w:tcBorders>
            <w:shd w:val="clear" w:color="000000" w:fill="A71433"/>
            <w:vAlign w:val="center"/>
            <w:hideMark/>
          </w:tcPr>
          <w:p w14:paraId="1296655E" w14:textId="77777777" w:rsidR="000B2114" w:rsidRDefault="000B2114">
            <w:pPr>
              <w:jc w:val="right"/>
              <w:rPr>
                <w:rFonts w:ascii="Arial Narrow" w:hAnsi="Arial Narrow" w:cs="Calibri"/>
                <w:b/>
                <w:bCs/>
                <w:color w:val="FFFFFF"/>
                <w:sz w:val="18"/>
                <w:szCs w:val="18"/>
              </w:rPr>
            </w:pPr>
            <w:r>
              <w:rPr>
                <w:rFonts w:ascii="Arial Narrow" w:hAnsi="Arial Narrow" w:cs="Calibri"/>
                <w:b/>
                <w:bCs/>
                <w:color w:val="FFFFFF"/>
                <w:sz w:val="18"/>
                <w:szCs w:val="18"/>
              </w:rPr>
              <w:t>159.248</w:t>
            </w:r>
          </w:p>
        </w:tc>
        <w:tc>
          <w:tcPr>
            <w:tcW w:w="924" w:type="dxa"/>
            <w:tcBorders>
              <w:top w:val="nil"/>
              <w:left w:val="nil"/>
              <w:bottom w:val="single" w:sz="4" w:space="0" w:color="auto"/>
              <w:right w:val="nil"/>
            </w:tcBorders>
            <w:shd w:val="clear" w:color="000000" w:fill="A71433"/>
            <w:vAlign w:val="center"/>
            <w:hideMark/>
          </w:tcPr>
          <w:p w14:paraId="2EBB86FD" w14:textId="77777777" w:rsidR="000B2114" w:rsidRDefault="000B2114">
            <w:pPr>
              <w:jc w:val="right"/>
              <w:rPr>
                <w:rFonts w:ascii="Arial Narrow" w:hAnsi="Arial Narrow" w:cs="Calibri"/>
                <w:b/>
                <w:bCs/>
                <w:color w:val="FFFFFF"/>
                <w:sz w:val="18"/>
                <w:szCs w:val="18"/>
              </w:rPr>
            </w:pPr>
            <w:r>
              <w:rPr>
                <w:rFonts w:ascii="Arial Narrow" w:hAnsi="Arial Narrow" w:cs="Calibri"/>
                <w:b/>
                <w:bCs/>
                <w:color w:val="FFFFFF"/>
                <w:sz w:val="18"/>
                <w:szCs w:val="18"/>
              </w:rPr>
              <w:t>480</w:t>
            </w:r>
          </w:p>
        </w:tc>
        <w:tc>
          <w:tcPr>
            <w:tcW w:w="923" w:type="dxa"/>
            <w:tcBorders>
              <w:top w:val="nil"/>
              <w:left w:val="nil"/>
              <w:bottom w:val="single" w:sz="4" w:space="0" w:color="auto"/>
              <w:right w:val="nil"/>
            </w:tcBorders>
            <w:shd w:val="clear" w:color="000000" w:fill="A71433"/>
            <w:vAlign w:val="center"/>
            <w:hideMark/>
          </w:tcPr>
          <w:p w14:paraId="6B366875" w14:textId="77777777" w:rsidR="000B2114" w:rsidRDefault="000B2114">
            <w:pPr>
              <w:jc w:val="right"/>
              <w:rPr>
                <w:rFonts w:ascii="Arial Narrow" w:hAnsi="Arial Narrow" w:cs="Calibri"/>
                <w:b/>
                <w:bCs/>
                <w:color w:val="FFFFFF"/>
                <w:sz w:val="18"/>
                <w:szCs w:val="18"/>
              </w:rPr>
            </w:pPr>
            <w:r>
              <w:rPr>
                <w:rFonts w:ascii="Arial Narrow" w:hAnsi="Arial Narrow" w:cs="Calibri"/>
                <w:b/>
                <w:bCs/>
                <w:color w:val="FFFFFF"/>
                <w:sz w:val="18"/>
                <w:szCs w:val="18"/>
              </w:rPr>
              <w:t>-9,4</w:t>
            </w:r>
          </w:p>
        </w:tc>
        <w:tc>
          <w:tcPr>
            <w:tcW w:w="923" w:type="dxa"/>
            <w:tcBorders>
              <w:top w:val="nil"/>
              <w:left w:val="nil"/>
              <w:bottom w:val="single" w:sz="4" w:space="0" w:color="auto"/>
              <w:right w:val="nil"/>
            </w:tcBorders>
            <w:shd w:val="clear" w:color="000000" w:fill="A71433"/>
            <w:vAlign w:val="center"/>
            <w:hideMark/>
          </w:tcPr>
          <w:p w14:paraId="21523476" w14:textId="77777777" w:rsidR="000B2114" w:rsidRDefault="000B2114">
            <w:pPr>
              <w:jc w:val="right"/>
              <w:rPr>
                <w:rFonts w:ascii="Arial Narrow" w:hAnsi="Arial Narrow" w:cs="Calibri"/>
                <w:b/>
                <w:bCs/>
                <w:color w:val="FFFFFF"/>
                <w:sz w:val="18"/>
                <w:szCs w:val="18"/>
              </w:rPr>
            </w:pPr>
            <w:r>
              <w:rPr>
                <w:rFonts w:ascii="Arial Narrow" w:hAnsi="Arial Narrow" w:cs="Calibri"/>
                <w:b/>
                <w:bCs/>
                <w:color w:val="FFFFFF"/>
                <w:sz w:val="18"/>
                <w:szCs w:val="18"/>
              </w:rPr>
              <w:t>-30,1</w:t>
            </w:r>
          </w:p>
        </w:tc>
        <w:tc>
          <w:tcPr>
            <w:tcW w:w="919" w:type="dxa"/>
            <w:tcBorders>
              <w:top w:val="nil"/>
              <w:left w:val="nil"/>
              <w:bottom w:val="single" w:sz="4" w:space="0" w:color="auto"/>
              <w:right w:val="nil"/>
            </w:tcBorders>
            <w:shd w:val="clear" w:color="000000" w:fill="A71433"/>
            <w:vAlign w:val="center"/>
            <w:hideMark/>
          </w:tcPr>
          <w:p w14:paraId="69B35254" w14:textId="77777777" w:rsidR="000B2114" w:rsidRDefault="000B2114">
            <w:pPr>
              <w:jc w:val="right"/>
              <w:rPr>
                <w:rFonts w:ascii="Arial Narrow" w:hAnsi="Arial Narrow" w:cs="Calibri"/>
                <w:b/>
                <w:bCs/>
                <w:color w:val="FFFFFF"/>
                <w:sz w:val="18"/>
                <w:szCs w:val="18"/>
              </w:rPr>
            </w:pPr>
            <w:r>
              <w:rPr>
                <w:rFonts w:ascii="Arial Narrow" w:hAnsi="Arial Narrow" w:cs="Calibri"/>
                <w:b/>
                <w:bCs/>
                <w:color w:val="FFFFFF"/>
                <w:sz w:val="18"/>
                <w:szCs w:val="18"/>
              </w:rPr>
              <w:t>4,9</w:t>
            </w:r>
          </w:p>
        </w:tc>
        <w:tc>
          <w:tcPr>
            <w:tcW w:w="141" w:type="dxa"/>
            <w:vAlign w:val="center"/>
            <w:hideMark/>
          </w:tcPr>
          <w:p w14:paraId="1F6A5AF3" w14:textId="2DD0F42F" w:rsidR="009A53C3" w:rsidRDefault="009A53C3">
            <w:pPr>
              <w:rPr>
                <w:sz w:val="20"/>
                <w:szCs w:val="20"/>
              </w:rPr>
            </w:pPr>
          </w:p>
        </w:tc>
      </w:tr>
    </w:tbl>
    <w:p w14:paraId="5E7BFADC" w14:textId="77777777" w:rsidR="00A33895" w:rsidRPr="009A53C3" w:rsidRDefault="00A33895" w:rsidP="009A53C3">
      <w:pPr>
        <w:spacing w:after="120"/>
        <w:jc w:val="both"/>
        <w:rPr>
          <w:rFonts w:ascii="Arial" w:eastAsiaTheme="minorHAnsi" w:hAnsi="Arial" w:cs="Arial"/>
          <w:b/>
          <w:sz w:val="22"/>
          <w:szCs w:val="22"/>
          <w:lang w:eastAsia="en-US"/>
        </w:rPr>
      </w:pPr>
    </w:p>
    <w:p w14:paraId="2E2A8C6F" w14:textId="45E4B7AC" w:rsidR="00A1334C" w:rsidRPr="00F928A0" w:rsidRDefault="009A165E" w:rsidP="009A53C3">
      <w:pPr>
        <w:spacing w:after="120"/>
        <w:jc w:val="both"/>
        <w:rPr>
          <w:rFonts w:ascii="Arial" w:eastAsiaTheme="minorHAnsi" w:hAnsi="Arial" w:cs="Arial"/>
          <w:b/>
          <w:sz w:val="22"/>
          <w:szCs w:val="22"/>
          <w:lang w:eastAsia="en-US"/>
        </w:rPr>
      </w:pPr>
      <w:r w:rsidRPr="00F928A0">
        <w:rPr>
          <w:rFonts w:ascii="Arial" w:eastAsiaTheme="minorHAnsi" w:hAnsi="Arial" w:cs="Arial"/>
          <w:b/>
          <w:sz w:val="22"/>
          <w:szCs w:val="22"/>
          <w:lang w:eastAsia="en-US"/>
        </w:rPr>
        <w:t>L</w:t>
      </w:r>
      <w:r>
        <w:rPr>
          <w:rFonts w:ascii="Arial" w:eastAsiaTheme="minorHAnsi" w:hAnsi="Arial" w:cs="Arial"/>
          <w:b/>
          <w:sz w:val="22"/>
          <w:szCs w:val="22"/>
          <w:lang w:eastAsia="en-US"/>
        </w:rPr>
        <w:t xml:space="preserve">a </w:t>
      </w:r>
      <w:r w:rsidR="00A1310C">
        <w:rPr>
          <w:rFonts w:ascii="Arial" w:eastAsiaTheme="minorHAnsi" w:hAnsi="Arial" w:cs="Arial"/>
          <w:b/>
          <w:sz w:val="22"/>
          <w:szCs w:val="22"/>
          <w:lang w:eastAsia="en-US"/>
        </w:rPr>
        <w:t>Basilicata</w:t>
      </w:r>
      <w:r w:rsidRPr="00F928A0">
        <w:rPr>
          <w:rFonts w:ascii="Arial" w:eastAsiaTheme="minorHAnsi" w:hAnsi="Arial" w:cs="Arial"/>
          <w:b/>
          <w:sz w:val="22"/>
          <w:szCs w:val="22"/>
          <w:lang w:eastAsia="en-US"/>
        </w:rPr>
        <w:t xml:space="preserve"> </w:t>
      </w:r>
      <w:r w:rsidR="00345D2E" w:rsidRPr="00F928A0">
        <w:rPr>
          <w:rFonts w:ascii="Arial" w:eastAsiaTheme="minorHAnsi" w:hAnsi="Arial" w:cs="Arial"/>
          <w:b/>
          <w:sz w:val="22"/>
          <w:szCs w:val="22"/>
          <w:lang w:eastAsia="en-US"/>
        </w:rPr>
        <w:t xml:space="preserve">rispetto agli </w:t>
      </w:r>
      <w:r w:rsidR="00554234" w:rsidRPr="00F928A0">
        <w:rPr>
          <w:rFonts w:ascii="Arial" w:eastAsiaTheme="minorHAnsi" w:hAnsi="Arial" w:cs="Arial"/>
          <w:b/>
          <w:sz w:val="22"/>
          <w:szCs w:val="22"/>
          <w:lang w:eastAsia="en-US"/>
        </w:rPr>
        <w:t>obiettivi europei</w:t>
      </w:r>
    </w:p>
    <w:p w14:paraId="26EDBB46" w14:textId="220A15C2" w:rsidR="008A7F7B" w:rsidRPr="00AB7EC7" w:rsidRDefault="00956178" w:rsidP="00DC417B">
      <w:pPr>
        <w:spacing w:after="120"/>
        <w:jc w:val="both"/>
        <w:rPr>
          <w:rFonts w:ascii="Arial" w:eastAsiaTheme="minorHAnsi" w:hAnsi="Arial" w:cs="Arial"/>
          <w:sz w:val="20"/>
          <w:szCs w:val="20"/>
          <w:lang w:eastAsia="en-US"/>
        </w:rPr>
      </w:pPr>
      <w:r w:rsidRPr="00AB7EC7">
        <w:rPr>
          <w:rFonts w:ascii="Arial" w:eastAsiaTheme="minorHAnsi" w:hAnsi="Arial" w:cs="Arial"/>
          <w:bCs/>
          <w:sz w:val="20"/>
          <w:szCs w:val="20"/>
          <w:lang w:eastAsia="en-US"/>
        </w:rPr>
        <w:t>I Programmi d’azione europei per la sicurezza stradale,</w:t>
      </w:r>
      <w:r w:rsidR="00E02F2C" w:rsidRPr="00AB7EC7">
        <w:rPr>
          <w:rFonts w:ascii="Arial" w:eastAsiaTheme="minorHAnsi" w:hAnsi="Arial" w:cs="Arial"/>
          <w:bCs/>
          <w:sz w:val="20"/>
          <w:szCs w:val="20"/>
          <w:lang w:eastAsia="en-US"/>
        </w:rPr>
        <w:t xml:space="preserve"> </w:t>
      </w:r>
      <w:r w:rsidR="00986BF0" w:rsidRPr="00AB7EC7">
        <w:rPr>
          <w:rFonts w:ascii="Arial" w:eastAsiaTheme="minorHAnsi" w:hAnsi="Arial" w:cs="Arial"/>
          <w:bCs/>
          <w:sz w:val="20"/>
          <w:szCs w:val="20"/>
          <w:lang w:eastAsia="en-US"/>
        </w:rPr>
        <w:t xml:space="preserve">riferiti ai </w:t>
      </w:r>
      <w:r w:rsidRPr="00AB7EC7">
        <w:rPr>
          <w:rFonts w:ascii="Arial" w:eastAsiaTheme="minorHAnsi" w:hAnsi="Arial" w:cs="Arial"/>
          <w:bCs/>
          <w:sz w:val="20"/>
          <w:szCs w:val="20"/>
          <w:lang w:eastAsia="en-US"/>
        </w:rPr>
        <w:t>decenni 2001-2010 e 2011-2020, impegnano i Paesi membri a conseguire il dimezzamento dei morti per incidente stradale. Per il nuovo decennio di iniziative 2021-203</w:t>
      </w:r>
      <w:r w:rsidRPr="00AB7EC7">
        <w:rPr>
          <w:rFonts w:ascii="Arial" w:eastAsiaTheme="minorHAnsi" w:hAnsi="Arial" w:cs="Arial"/>
          <w:sz w:val="20"/>
          <w:szCs w:val="20"/>
          <w:lang w:eastAsia="en-US"/>
        </w:rPr>
        <w:t xml:space="preserve">0, gli obiettivi europei sulla sicurezza stradale prevedono l’ulteriore dimezzamento del numero di vittime e dei feriti gravi entro il 2030 rispetto all’anno di benchmark (fissato nel 2019) e il monitoraggio di specifici indicatori di prestazione, </w:t>
      </w:r>
      <w:proofErr w:type="spellStart"/>
      <w:r w:rsidRPr="008F317B">
        <w:rPr>
          <w:rFonts w:ascii="Arial" w:eastAsiaTheme="minorHAnsi" w:hAnsi="Arial" w:cs="Arial"/>
          <w:i/>
          <w:sz w:val="20"/>
          <w:szCs w:val="20"/>
          <w:lang w:eastAsia="en-US"/>
        </w:rPr>
        <w:t>Key</w:t>
      </w:r>
      <w:proofErr w:type="spellEnd"/>
      <w:r w:rsidRPr="008F317B">
        <w:rPr>
          <w:rFonts w:ascii="Arial" w:eastAsiaTheme="minorHAnsi" w:hAnsi="Arial" w:cs="Arial"/>
          <w:i/>
          <w:sz w:val="20"/>
          <w:szCs w:val="20"/>
          <w:lang w:eastAsia="en-US"/>
        </w:rPr>
        <w:t xml:space="preserve"> Performance </w:t>
      </w:r>
      <w:proofErr w:type="spellStart"/>
      <w:r w:rsidRPr="008F317B">
        <w:rPr>
          <w:rFonts w:ascii="Arial" w:eastAsiaTheme="minorHAnsi" w:hAnsi="Arial" w:cs="Arial"/>
          <w:i/>
          <w:sz w:val="20"/>
          <w:szCs w:val="20"/>
          <w:lang w:eastAsia="en-US"/>
        </w:rPr>
        <w:t>Indicators</w:t>
      </w:r>
      <w:proofErr w:type="spellEnd"/>
      <w:r w:rsidRPr="00AB7EC7">
        <w:rPr>
          <w:rFonts w:ascii="Arial" w:eastAsiaTheme="minorHAnsi" w:hAnsi="Arial" w:cs="Arial"/>
          <w:sz w:val="20"/>
          <w:szCs w:val="20"/>
          <w:lang w:eastAsia="en-US"/>
        </w:rPr>
        <w:t xml:space="preserve"> (sui temi: infrastrutture, veicoli, infrastrutture stradali, assistenza post-incidente), che l’Italia si prepara a fornire</w:t>
      </w:r>
      <w:r w:rsidR="00FC50D9" w:rsidRPr="00AB7EC7">
        <w:rPr>
          <w:rFonts w:ascii="Arial" w:eastAsiaTheme="minorHAnsi" w:hAnsi="Arial" w:cs="Arial"/>
          <w:sz w:val="20"/>
          <w:szCs w:val="20"/>
          <w:lang w:eastAsia="en-US"/>
        </w:rPr>
        <w:t>.</w:t>
      </w:r>
    </w:p>
    <w:p w14:paraId="719ED8CF" w14:textId="033DCA17" w:rsidR="00634328" w:rsidRPr="00AB7EC7" w:rsidRDefault="007C4CC8" w:rsidP="00DC417B">
      <w:pPr>
        <w:spacing w:after="120"/>
        <w:jc w:val="both"/>
        <w:rPr>
          <w:rFonts w:ascii="Arial" w:eastAsiaTheme="minorHAnsi" w:hAnsi="Arial" w:cs="Arial"/>
          <w:sz w:val="20"/>
          <w:szCs w:val="20"/>
          <w:lang w:eastAsia="en-US"/>
        </w:rPr>
      </w:pPr>
      <w:r w:rsidRPr="00AB7EC7">
        <w:rPr>
          <w:rFonts w:ascii="Arial" w:eastAsiaTheme="minorHAnsi" w:hAnsi="Arial" w:cs="Arial"/>
          <w:sz w:val="20"/>
          <w:szCs w:val="20"/>
          <w:lang w:eastAsia="en-US"/>
        </w:rPr>
        <w:t>Nel</w:t>
      </w:r>
      <w:r w:rsidR="00F81B14" w:rsidRPr="00AB7EC7">
        <w:rPr>
          <w:rFonts w:ascii="Arial" w:eastAsiaTheme="minorHAnsi" w:hAnsi="Arial" w:cs="Arial"/>
          <w:sz w:val="20"/>
          <w:szCs w:val="20"/>
          <w:lang w:eastAsia="en-US"/>
        </w:rPr>
        <w:t xml:space="preserve"> </w:t>
      </w:r>
      <w:r w:rsidRPr="00AB7EC7">
        <w:rPr>
          <w:rFonts w:ascii="Arial" w:eastAsiaTheme="minorHAnsi" w:hAnsi="Arial" w:cs="Arial"/>
          <w:sz w:val="20"/>
          <w:szCs w:val="20"/>
          <w:lang w:eastAsia="en-US"/>
        </w:rPr>
        <w:t>periodo 2001-2010</w:t>
      </w:r>
      <w:r w:rsidR="004903A7" w:rsidRPr="00AB7EC7">
        <w:rPr>
          <w:rFonts w:ascii="Arial" w:eastAsiaTheme="minorHAnsi" w:hAnsi="Arial" w:cs="Arial"/>
          <w:sz w:val="20"/>
          <w:szCs w:val="20"/>
          <w:lang w:eastAsia="en-US"/>
        </w:rPr>
        <w:t xml:space="preserve"> in Basilicata</w:t>
      </w:r>
      <w:r w:rsidRPr="00AB7EC7">
        <w:rPr>
          <w:rFonts w:ascii="Arial" w:eastAsiaTheme="minorHAnsi" w:hAnsi="Arial" w:cs="Arial"/>
          <w:sz w:val="20"/>
          <w:szCs w:val="20"/>
          <w:lang w:eastAsia="en-US"/>
        </w:rPr>
        <w:t xml:space="preserve"> le vittime della strada si sono ridotte del </w:t>
      </w:r>
      <w:r w:rsidR="008A7345" w:rsidRPr="00AB7EC7">
        <w:rPr>
          <w:rFonts w:ascii="Arial" w:eastAsiaTheme="minorHAnsi" w:hAnsi="Arial" w:cs="Arial"/>
          <w:sz w:val="20"/>
          <w:szCs w:val="20"/>
          <w:lang w:eastAsia="en-US"/>
        </w:rPr>
        <w:t>18,6</w:t>
      </w:r>
      <w:r w:rsidRPr="00AB7EC7">
        <w:rPr>
          <w:rFonts w:ascii="Arial" w:eastAsiaTheme="minorHAnsi" w:hAnsi="Arial" w:cs="Arial"/>
          <w:sz w:val="20"/>
          <w:szCs w:val="20"/>
          <w:lang w:eastAsia="en-US"/>
        </w:rPr>
        <w:t>%</w:t>
      </w:r>
      <w:r w:rsidR="005C526E" w:rsidRPr="00AB7EC7">
        <w:rPr>
          <w:rFonts w:ascii="Arial" w:eastAsiaTheme="minorHAnsi" w:hAnsi="Arial" w:cs="Arial"/>
          <w:sz w:val="20"/>
          <w:szCs w:val="20"/>
          <w:lang w:eastAsia="en-US"/>
        </w:rPr>
        <w:t>,</w:t>
      </w:r>
      <w:r w:rsidRPr="00AB7EC7">
        <w:rPr>
          <w:rFonts w:ascii="Arial" w:eastAsiaTheme="minorHAnsi" w:hAnsi="Arial" w:cs="Arial"/>
          <w:sz w:val="20"/>
          <w:szCs w:val="20"/>
          <w:lang w:eastAsia="en-US"/>
        </w:rPr>
        <w:t xml:space="preserve"> </w:t>
      </w:r>
      <w:r w:rsidR="002A3BF1" w:rsidRPr="00AB7EC7">
        <w:rPr>
          <w:rFonts w:ascii="Arial" w:eastAsiaTheme="minorHAnsi" w:hAnsi="Arial" w:cs="Arial"/>
          <w:sz w:val="20"/>
          <w:szCs w:val="20"/>
          <w:lang w:eastAsia="en-US"/>
        </w:rPr>
        <w:t xml:space="preserve">meno </w:t>
      </w:r>
      <w:r w:rsidRPr="00AB7EC7">
        <w:rPr>
          <w:rFonts w:ascii="Arial" w:eastAsiaTheme="minorHAnsi" w:hAnsi="Arial" w:cs="Arial"/>
          <w:sz w:val="20"/>
          <w:szCs w:val="20"/>
          <w:lang w:eastAsia="en-US"/>
        </w:rPr>
        <w:t xml:space="preserve">della media nazionale </w:t>
      </w:r>
      <w:r w:rsidR="005C17C4">
        <w:rPr>
          <w:rFonts w:ascii="Arial" w:eastAsiaTheme="minorHAnsi" w:hAnsi="Arial" w:cs="Arial"/>
          <w:sz w:val="20"/>
          <w:szCs w:val="20"/>
          <w:lang w:eastAsia="en-US"/>
        </w:rPr>
        <w:br/>
      </w:r>
      <w:r w:rsidRPr="00AB7EC7">
        <w:rPr>
          <w:rFonts w:ascii="Arial" w:eastAsiaTheme="minorHAnsi" w:hAnsi="Arial" w:cs="Arial"/>
          <w:sz w:val="20"/>
          <w:szCs w:val="20"/>
          <w:lang w:eastAsia="en-US"/>
        </w:rPr>
        <w:t xml:space="preserve">(-42,0%); </w:t>
      </w:r>
      <w:r w:rsidR="00F81B14" w:rsidRPr="00AB7EC7">
        <w:rPr>
          <w:rFonts w:ascii="Arial" w:eastAsiaTheme="minorHAnsi" w:hAnsi="Arial" w:cs="Arial"/>
          <w:sz w:val="20"/>
          <w:szCs w:val="20"/>
          <w:lang w:eastAsia="en-US"/>
        </w:rPr>
        <w:t>fra il 2010 e il 20</w:t>
      </w:r>
      <w:r w:rsidR="004B5EE2" w:rsidRPr="00AB7EC7">
        <w:rPr>
          <w:rFonts w:ascii="Arial" w:eastAsiaTheme="minorHAnsi" w:hAnsi="Arial" w:cs="Arial"/>
          <w:sz w:val="20"/>
          <w:szCs w:val="20"/>
          <w:lang w:eastAsia="en-US"/>
        </w:rPr>
        <w:t>2</w:t>
      </w:r>
      <w:r w:rsidR="00956178" w:rsidRPr="00AB7EC7">
        <w:rPr>
          <w:rFonts w:ascii="Arial" w:eastAsiaTheme="minorHAnsi" w:hAnsi="Arial" w:cs="Arial"/>
          <w:sz w:val="20"/>
          <w:szCs w:val="20"/>
          <w:lang w:eastAsia="en-US"/>
        </w:rPr>
        <w:t>1</w:t>
      </w:r>
      <w:r w:rsidR="004B5EE2" w:rsidRPr="00AB7EC7">
        <w:rPr>
          <w:rFonts w:ascii="Arial" w:eastAsiaTheme="minorHAnsi" w:hAnsi="Arial" w:cs="Arial"/>
          <w:sz w:val="20"/>
          <w:szCs w:val="20"/>
          <w:lang w:eastAsia="en-US"/>
        </w:rPr>
        <w:t xml:space="preserve"> </w:t>
      </w:r>
      <w:r w:rsidRPr="00AB7EC7">
        <w:rPr>
          <w:rFonts w:ascii="Arial" w:eastAsiaTheme="minorHAnsi" w:hAnsi="Arial" w:cs="Arial"/>
          <w:sz w:val="20"/>
          <w:szCs w:val="20"/>
          <w:lang w:eastAsia="en-US"/>
        </w:rPr>
        <w:t>si registrano</w:t>
      </w:r>
      <w:r w:rsidR="00FC50D9" w:rsidRPr="00AB7EC7">
        <w:rPr>
          <w:rFonts w:ascii="Arial" w:eastAsiaTheme="minorHAnsi" w:hAnsi="Arial" w:cs="Arial"/>
          <w:sz w:val="20"/>
          <w:szCs w:val="20"/>
          <w:lang w:eastAsia="en-US"/>
        </w:rPr>
        <w:t xml:space="preserve"> </w:t>
      </w:r>
      <w:r w:rsidR="007E6018" w:rsidRPr="00AB7EC7">
        <w:rPr>
          <w:rFonts w:ascii="Arial" w:eastAsiaTheme="minorHAnsi" w:hAnsi="Arial" w:cs="Arial"/>
          <w:sz w:val="20"/>
          <w:szCs w:val="20"/>
          <w:lang w:eastAsia="en-US"/>
        </w:rPr>
        <w:t>variazioni, rispettivamente</w:t>
      </w:r>
      <w:r w:rsidR="00413B50" w:rsidRPr="00AB7EC7">
        <w:rPr>
          <w:rFonts w:ascii="Arial" w:eastAsiaTheme="minorHAnsi" w:hAnsi="Arial" w:cs="Arial"/>
          <w:sz w:val="20"/>
          <w:szCs w:val="20"/>
          <w:lang w:eastAsia="en-US"/>
        </w:rPr>
        <w:t>,</w:t>
      </w:r>
      <w:r w:rsidR="007E6018" w:rsidRPr="00AB7EC7">
        <w:rPr>
          <w:rFonts w:ascii="Arial" w:eastAsiaTheme="minorHAnsi" w:hAnsi="Arial" w:cs="Arial"/>
          <w:sz w:val="20"/>
          <w:szCs w:val="20"/>
          <w:lang w:eastAsia="en-US"/>
        </w:rPr>
        <w:t xml:space="preserve"> di</w:t>
      </w:r>
      <w:r w:rsidRPr="00AB7EC7">
        <w:rPr>
          <w:rFonts w:ascii="Arial" w:eastAsiaTheme="minorHAnsi" w:hAnsi="Arial" w:cs="Arial"/>
          <w:sz w:val="20"/>
          <w:szCs w:val="20"/>
          <w:lang w:eastAsia="en-US"/>
        </w:rPr>
        <w:t xml:space="preserve"> -</w:t>
      </w:r>
      <w:r w:rsidR="00D311D8" w:rsidRPr="00AB7EC7">
        <w:rPr>
          <w:rFonts w:ascii="Arial" w:eastAsiaTheme="minorHAnsi" w:hAnsi="Arial" w:cs="Arial"/>
          <w:sz w:val="20"/>
          <w:szCs w:val="20"/>
          <w:lang w:eastAsia="en-US"/>
        </w:rPr>
        <w:t>25,0</w:t>
      </w:r>
      <w:r w:rsidRPr="00AB7EC7">
        <w:rPr>
          <w:rFonts w:ascii="Arial" w:eastAsiaTheme="minorHAnsi" w:hAnsi="Arial" w:cs="Arial"/>
          <w:sz w:val="20"/>
          <w:szCs w:val="20"/>
          <w:lang w:eastAsia="en-US"/>
        </w:rPr>
        <w:t>% e</w:t>
      </w:r>
      <w:r w:rsidR="00383340" w:rsidRPr="00AB7EC7">
        <w:rPr>
          <w:rFonts w:ascii="Arial" w:eastAsiaTheme="minorHAnsi" w:hAnsi="Arial" w:cs="Arial"/>
          <w:sz w:val="20"/>
          <w:szCs w:val="20"/>
          <w:lang w:eastAsia="en-US"/>
        </w:rPr>
        <w:t xml:space="preserve"> -</w:t>
      </w:r>
      <w:r w:rsidR="00D311D8" w:rsidRPr="00AB7EC7">
        <w:rPr>
          <w:rFonts w:ascii="Arial" w:eastAsiaTheme="minorHAnsi" w:hAnsi="Arial" w:cs="Arial"/>
          <w:sz w:val="20"/>
          <w:szCs w:val="20"/>
          <w:lang w:eastAsia="en-US"/>
        </w:rPr>
        <w:t>30,1</w:t>
      </w:r>
      <w:r w:rsidRPr="00AB7EC7">
        <w:rPr>
          <w:rFonts w:ascii="Arial" w:eastAsiaTheme="minorHAnsi" w:hAnsi="Arial" w:cs="Arial"/>
          <w:sz w:val="20"/>
          <w:szCs w:val="20"/>
          <w:lang w:eastAsia="en-US"/>
        </w:rPr>
        <w:t>%.</w:t>
      </w:r>
      <w:r w:rsidR="00FC50D9" w:rsidRPr="00AB7EC7">
        <w:rPr>
          <w:rFonts w:ascii="Arial" w:eastAsiaTheme="minorHAnsi" w:hAnsi="Arial" w:cs="Arial"/>
          <w:sz w:val="20"/>
          <w:szCs w:val="20"/>
          <w:lang w:eastAsia="en-US"/>
        </w:rPr>
        <w:t xml:space="preserve"> </w:t>
      </w:r>
      <w:r w:rsidR="00F81B14" w:rsidRPr="00AB7EC7">
        <w:rPr>
          <w:rFonts w:ascii="Arial" w:eastAsiaTheme="minorHAnsi" w:hAnsi="Arial" w:cs="Arial"/>
          <w:sz w:val="20"/>
          <w:szCs w:val="20"/>
          <w:lang w:eastAsia="en-US"/>
        </w:rPr>
        <w:t xml:space="preserve"> Nello stesso </w:t>
      </w:r>
      <w:r w:rsidR="005C718B" w:rsidRPr="00AB7EC7">
        <w:rPr>
          <w:rFonts w:ascii="Arial" w:eastAsiaTheme="minorHAnsi" w:hAnsi="Arial" w:cs="Arial"/>
          <w:sz w:val="20"/>
          <w:szCs w:val="20"/>
          <w:lang w:eastAsia="en-US"/>
        </w:rPr>
        <w:t>periodo</w:t>
      </w:r>
      <w:r w:rsidR="009E6C34" w:rsidRPr="00AB7EC7">
        <w:rPr>
          <w:rFonts w:ascii="Arial" w:eastAsiaTheme="minorHAnsi" w:hAnsi="Arial" w:cs="Arial"/>
          <w:sz w:val="20"/>
          <w:szCs w:val="20"/>
          <w:lang w:eastAsia="en-US"/>
        </w:rPr>
        <w:t xml:space="preserve"> l’indice </w:t>
      </w:r>
      <w:r w:rsidR="00FC50D9" w:rsidRPr="00AB7EC7">
        <w:rPr>
          <w:rFonts w:ascii="Arial" w:eastAsiaTheme="minorHAnsi" w:hAnsi="Arial" w:cs="Arial"/>
          <w:sz w:val="20"/>
          <w:szCs w:val="20"/>
          <w:lang w:eastAsia="en-US"/>
        </w:rPr>
        <w:t xml:space="preserve">di mortalità </w:t>
      </w:r>
      <w:r w:rsidR="0056733F" w:rsidRPr="00AB7EC7">
        <w:rPr>
          <w:rFonts w:ascii="Arial" w:eastAsiaTheme="minorHAnsi" w:hAnsi="Arial" w:cs="Arial"/>
          <w:sz w:val="20"/>
          <w:szCs w:val="20"/>
          <w:lang w:eastAsia="en-US"/>
        </w:rPr>
        <w:t xml:space="preserve">sul </w:t>
      </w:r>
      <w:r w:rsidR="00CE5CFB" w:rsidRPr="00AB7EC7">
        <w:rPr>
          <w:rFonts w:ascii="Arial" w:eastAsiaTheme="minorHAnsi" w:hAnsi="Arial" w:cs="Arial"/>
          <w:sz w:val="20"/>
          <w:szCs w:val="20"/>
          <w:lang w:eastAsia="en-US"/>
        </w:rPr>
        <w:t xml:space="preserve">territorio regionale </w:t>
      </w:r>
      <w:r w:rsidR="002B2C92" w:rsidRPr="00AB7EC7">
        <w:rPr>
          <w:rFonts w:ascii="Arial" w:eastAsiaTheme="minorHAnsi" w:hAnsi="Arial" w:cs="Arial"/>
          <w:sz w:val="20"/>
          <w:szCs w:val="20"/>
          <w:lang w:eastAsia="en-US"/>
        </w:rPr>
        <w:t xml:space="preserve">è </w:t>
      </w:r>
      <w:r w:rsidR="002A3BF1" w:rsidRPr="00AB7EC7">
        <w:rPr>
          <w:rFonts w:ascii="Arial" w:eastAsiaTheme="minorHAnsi" w:hAnsi="Arial" w:cs="Arial"/>
          <w:sz w:val="20"/>
          <w:szCs w:val="20"/>
          <w:lang w:eastAsia="en-US"/>
        </w:rPr>
        <w:t xml:space="preserve">diminuito </w:t>
      </w:r>
      <w:r w:rsidR="00FC50D9" w:rsidRPr="00AB7EC7">
        <w:rPr>
          <w:rFonts w:ascii="Arial" w:eastAsiaTheme="minorHAnsi" w:hAnsi="Arial" w:cs="Arial"/>
          <w:sz w:val="20"/>
          <w:szCs w:val="20"/>
          <w:lang w:eastAsia="en-US"/>
        </w:rPr>
        <w:t>da</w:t>
      </w:r>
      <w:r w:rsidR="00D41D51" w:rsidRPr="00AB7EC7">
        <w:rPr>
          <w:rFonts w:ascii="Arial" w:eastAsiaTheme="minorHAnsi" w:hAnsi="Arial" w:cs="Arial"/>
          <w:sz w:val="20"/>
          <w:szCs w:val="20"/>
          <w:lang w:eastAsia="en-US"/>
        </w:rPr>
        <w:t xml:space="preserve"> </w:t>
      </w:r>
      <w:r w:rsidR="008A7345" w:rsidRPr="00AB7EC7">
        <w:rPr>
          <w:rFonts w:ascii="Arial" w:eastAsiaTheme="minorHAnsi" w:hAnsi="Arial" w:cs="Arial"/>
          <w:sz w:val="20"/>
          <w:szCs w:val="20"/>
          <w:lang w:eastAsia="en-US"/>
        </w:rPr>
        <w:t>4,2</w:t>
      </w:r>
      <w:r w:rsidR="002A3BF1" w:rsidRPr="00AB7EC7">
        <w:rPr>
          <w:rFonts w:ascii="Arial" w:eastAsiaTheme="minorHAnsi" w:hAnsi="Arial" w:cs="Arial"/>
          <w:sz w:val="20"/>
          <w:szCs w:val="20"/>
          <w:lang w:eastAsia="en-US"/>
        </w:rPr>
        <w:t xml:space="preserve"> </w:t>
      </w:r>
      <w:r w:rsidR="00FC50D9" w:rsidRPr="00AB7EC7">
        <w:rPr>
          <w:rFonts w:ascii="Arial" w:eastAsiaTheme="minorHAnsi" w:hAnsi="Arial" w:cs="Arial"/>
          <w:sz w:val="20"/>
          <w:szCs w:val="20"/>
          <w:lang w:eastAsia="en-US"/>
        </w:rPr>
        <w:t xml:space="preserve">a </w:t>
      </w:r>
      <w:r w:rsidR="00D311D8" w:rsidRPr="00AB7EC7">
        <w:rPr>
          <w:rFonts w:ascii="Arial" w:eastAsiaTheme="minorHAnsi" w:hAnsi="Arial" w:cs="Arial"/>
          <w:sz w:val="20"/>
          <w:szCs w:val="20"/>
          <w:lang w:eastAsia="en-US"/>
        </w:rPr>
        <w:t>3,9</w:t>
      </w:r>
      <w:r w:rsidR="002A3BF1" w:rsidRPr="00AB7EC7">
        <w:rPr>
          <w:rFonts w:ascii="Arial" w:eastAsiaTheme="minorHAnsi" w:hAnsi="Arial" w:cs="Arial"/>
          <w:sz w:val="20"/>
          <w:szCs w:val="20"/>
          <w:lang w:eastAsia="en-US"/>
        </w:rPr>
        <w:t xml:space="preserve"> </w:t>
      </w:r>
      <w:r w:rsidR="00670DBB" w:rsidRPr="00AB7EC7">
        <w:rPr>
          <w:rFonts w:ascii="Arial" w:eastAsiaTheme="minorHAnsi" w:hAnsi="Arial" w:cs="Arial"/>
          <w:sz w:val="20"/>
          <w:szCs w:val="20"/>
          <w:lang w:eastAsia="en-US"/>
        </w:rPr>
        <w:t>deceduti ogni 100 incidenti</w:t>
      </w:r>
      <w:r w:rsidR="008A4521" w:rsidRPr="00AB7EC7">
        <w:rPr>
          <w:rFonts w:ascii="Arial" w:eastAsiaTheme="minorHAnsi" w:hAnsi="Arial" w:cs="Arial"/>
          <w:sz w:val="20"/>
          <w:szCs w:val="20"/>
          <w:lang w:eastAsia="en-US"/>
        </w:rPr>
        <w:t xml:space="preserve"> mentre</w:t>
      </w:r>
      <w:r w:rsidR="0056733F" w:rsidRPr="00AB7EC7">
        <w:rPr>
          <w:rFonts w:ascii="Arial" w:eastAsiaTheme="minorHAnsi" w:hAnsi="Arial" w:cs="Arial"/>
          <w:sz w:val="20"/>
          <w:szCs w:val="20"/>
          <w:lang w:eastAsia="en-US"/>
        </w:rPr>
        <w:t xml:space="preserve"> quello </w:t>
      </w:r>
      <w:r w:rsidR="00C92D54" w:rsidRPr="00AB7EC7">
        <w:rPr>
          <w:rFonts w:ascii="Arial" w:eastAsiaTheme="minorHAnsi" w:hAnsi="Arial" w:cs="Arial"/>
          <w:sz w:val="20"/>
          <w:szCs w:val="20"/>
          <w:lang w:eastAsia="en-US"/>
        </w:rPr>
        <w:t>medio nazionale</w:t>
      </w:r>
      <w:r w:rsidR="002C7F02" w:rsidRPr="00AB7EC7">
        <w:rPr>
          <w:rFonts w:ascii="Arial" w:eastAsiaTheme="minorHAnsi" w:hAnsi="Arial" w:cs="Arial"/>
          <w:sz w:val="20"/>
          <w:szCs w:val="20"/>
          <w:lang w:eastAsia="en-US"/>
        </w:rPr>
        <w:t xml:space="preserve"> </w:t>
      </w:r>
      <w:r w:rsidR="00CB2A8E" w:rsidRPr="00AB7EC7">
        <w:rPr>
          <w:rFonts w:ascii="Arial" w:eastAsiaTheme="minorHAnsi" w:hAnsi="Arial" w:cs="Arial"/>
          <w:sz w:val="20"/>
          <w:szCs w:val="20"/>
          <w:lang w:eastAsia="en-US"/>
        </w:rPr>
        <w:t>si conferma pari a</w:t>
      </w:r>
      <w:r w:rsidR="00295F44" w:rsidRPr="00AB7EC7">
        <w:rPr>
          <w:rFonts w:ascii="Arial" w:eastAsiaTheme="minorHAnsi" w:hAnsi="Arial" w:cs="Arial"/>
          <w:sz w:val="20"/>
          <w:szCs w:val="20"/>
          <w:lang w:eastAsia="en-US"/>
        </w:rPr>
        <w:t xml:space="preserve"> </w:t>
      </w:r>
      <w:r w:rsidR="00670DBB" w:rsidRPr="00AB7EC7">
        <w:rPr>
          <w:rFonts w:ascii="Arial" w:eastAsiaTheme="minorHAnsi" w:hAnsi="Arial" w:cs="Arial"/>
          <w:sz w:val="20"/>
          <w:szCs w:val="20"/>
          <w:lang w:eastAsia="en-US"/>
        </w:rPr>
        <w:t>1,9</w:t>
      </w:r>
      <w:r w:rsidR="00295F44" w:rsidRPr="00AB7EC7">
        <w:rPr>
          <w:rFonts w:ascii="Arial" w:eastAsiaTheme="minorHAnsi" w:hAnsi="Arial" w:cs="Arial"/>
          <w:sz w:val="20"/>
          <w:szCs w:val="20"/>
          <w:lang w:eastAsia="en-US"/>
        </w:rPr>
        <w:t xml:space="preserve"> decessi ogni 100 incidenti</w:t>
      </w:r>
      <w:r w:rsidR="00161574" w:rsidRPr="00AB7EC7">
        <w:rPr>
          <w:rFonts w:ascii="Arial" w:eastAsiaTheme="minorHAnsi" w:hAnsi="Arial" w:cs="Arial"/>
          <w:sz w:val="20"/>
          <w:szCs w:val="20"/>
          <w:lang w:eastAsia="en-US"/>
        </w:rPr>
        <w:t xml:space="preserve"> (</w:t>
      </w:r>
      <w:r w:rsidR="002135C9" w:rsidRPr="00AB7EC7">
        <w:rPr>
          <w:rFonts w:ascii="Arial" w:eastAsiaTheme="minorHAnsi" w:hAnsi="Arial" w:cs="Arial"/>
          <w:sz w:val="20"/>
          <w:szCs w:val="20"/>
          <w:lang w:eastAsia="en-US"/>
        </w:rPr>
        <w:t>Tavola</w:t>
      </w:r>
      <w:r w:rsidR="00161574" w:rsidRPr="00AB7EC7">
        <w:rPr>
          <w:rFonts w:ascii="Arial" w:eastAsiaTheme="minorHAnsi" w:hAnsi="Arial" w:cs="Arial"/>
          <w:sz w:val="20"/>
          <w:szCs w:val="20"/>
          <w:lang w:eastAsia="en-US"/>
        </w:rPr>
        <w:t xml:space="preserve"> in allegato)</w:t>
      </w:r>
      <w:r w:rsidR="005C17C4">
        <w:rPr>
          <w:rFonts w:ascii="Arial" w:eastAsiaTheme="minorHAnsi" w:hAnsi="Arial" w:cs="Arial"/>
          <w:sz w:val="20"/>
          <w:szCs w:val="20"/>
          <w:lang w:eastAsia="en-US"/>
        </w:rPr>
        <w:t>.</w:t>
      </w:r>
    </w:p>
    <w:p w14:paraId="75F05F21" w14:textId="3678592E" w:rsidR="006D2AF6" w:rsidRPr="00AB7EC7" w:rsidRDefault="00BF78F2" w:rsidP="00DC417B">
      <w:pPr>
        <w:spacing w:after="120"/>
        <w:jc w:val="both"/>
        <w:rPr>
          <w:rFonts w:ascii="Arial" w:eastAsiaTheme="minorHAnsi" w:hAnsi="Arial" w:cs="Arial"/>
          <w:sz w:val="20"/>
          <w:szCs w:val="20"/>
          <w:lang w:eastAsia="en-US"/>
        </w:rPr>
      </w:pPr>
      <w:r>
        <w:rPr>
          <w:rFonts w:ascii="Arial" w:eastAsiaTheme="minorHAnsi" w:hAnsi="Arial" w:cs="Arial"/>
          <w:sz w:val="20"/>
          <w:szCs w:val="20"/>
          <w:lang w:eastAsia="en-US"/>
        </w:rPr>
        <w:t>Nel 2021 l</w:t>
      </w:r>
      <w:r w:rsidR="00A20995" w:rsidRPr="00AB7EC7">
        <w:rPr>
          <w:rFonts w:ascii="Arial" w:eastAsiaTheme="minorHAnsi" w:hAnsi="Arial" w:cs="Arial"/>
          <w:sz w:val="20"/>
          <w:szCs w:val="20"/>
          <w:lang w:eastAsia="en-US"/>
        </w:rPr>
        <w:t>’incidenza degli utenti vulnerabili</w:t>
      </w:r>
      <w:r w:rsidR="0056733F" w:rsidRPr="00AB7EC7">
        <w:rPr>
          <w:rFonts w:ascii="Arial" w:eastAsiaTheme="minorHAnsi" w:hAnsi="Arial" w:cs="Arial"/>
          <w:sz w:val="20"/>
          <w:szCs w:val="20"/>
          <w:lang w:eastAsia="en-US"/>
        </w:rPr>
        <w:t xml:space="preserve"> </w:t>
      </w:r>
      <w:r w:rsidR="001C2F0B" w:rsidRPr="00AB7EC7">
        <w:rPr>
          <w:rFonts w:ascii="Arial" w:eastAsiaTheme="minorHAnsi" w:hAnsi="Arial" w:cs="Arial"/>
          <w:sz w:val="20"/>
          <w:szCs w:val="20"/>
          <w:lang w:eastAsia="en-US"/>
        </w:rPr>
        <w:t>per età (bambini, giovani e anziani</w:t>
      </w:r>
      <w:r w:rsidR="00AB7EC7">
        <w:rPr>
          <w:rFonts w:ascii="Arial" w:eastAsiaTheme="minorHAnsi" w:hAnsi="Arial" w:cs="Arial"/>
          <w:sz w:val="20"/>
          <w:szCs w:val="20"/>
          <w:lang w:eastAsia="en-US"/>
        </w:rPr>
        <w:t>)</w:t>
      </w:r>
      <w:r w:rsidR="005C17C4">
        <w:rPr>
          <w:rFonts w:ascii="Arial" w:eastAsiaTheme="minorHAnsi" w:hAnsi="Arial" w:cs="Arial"/>
          <w:sz w:val="20"/>
          <w:szCs w:val="20"/>
          <w:lang w:eastAsia="en-US"/>
        </w:rPr>
        <w:t>,</w:t>
      </w:r>
      <w:r w:rsidR="00AB7EC7">
        <w:rPr>
          <w:rFonts w:ascii="Arial" w:eastAsiaTheme="minorHAnsi" w:hAnsi="Arial" w:cs="Arial"/>
          <w:sz w:val="20"/>
          <w:szCs w:val="20"/>
          <w:lang w:eastAsia="en-US"/>
        </w:rPr>
        <w:t xml:space="preserve"> </w:t>
      </w:r>
      <w:r>
        <w:rPr>
          <w:rFonts w:ascii="Arial" w:eastAsiaTheme="minorHAnsi" w:hAnsi="Arial" w:cs="Arial"/>
          <w:sz w:val="20"/>
          <w:szCs w:val="20"/>
          <w:lang w:eastAsia="en-US"/>
        </w:rPr>
        <w:t xml:space="preserve">morti a causa di un </w:t>
      </w:r>
      <w:r w:rsidR="0056733F" w:rsidRPr="00AB7EC7">
        <w:rPr>
          <w:rFonts w:ascii="Arial" w:eastAsiaTheme="minorHAnsi" w:hAnsi="Arial" w:cs="Arial"/>
          <w:sz w:val="20"/>
          <w:szCs w:val="20"/>
          <w:lang w:eastAsia="en-US"/>
        </w:rPr>
        <w:t>incidente stradale</w:t>
      </w:r>
      <w:r>
        <w:rPr>
          <w:rFonts w:ascii="Arial" w:eastAsiaTheme="minorHAnsi" w:hAnsi="Arial" w:cs="Arial"/>
          <w:sz w:val="20"/>
          <w:szCs w:val="20"/>
          <w:lang w:eastAsia="en-US"/>
        </w:rPr>
        <w:t xml:space="preserve">, </w:t>
      </w:r>
      <w:r w:rsidR="00A20995" w:rsidRPr="00AB7EC7">
        <w:rPr>
          <w:rFonts w:ascii="Arial" w:eastAsiaTheme="minorHAnsi" w:hAnsi="Arial" w:cs="Arial"/>
          <w:sz w:val="20"/>
          <w:szCs w:val="20"/>
          <w:lang w:eastAsia="en-US"/>
        </w:rPr>
        <w:t xml:space="preserve">è </w:t>
      </w:r>
      <w:r w:rsidR="002A3BF1" w:rsidRPr="00AB7EC7">
        <w:rPr>
          <w:rFonts w:ascii="Arial" w:eastAsiaTheme="minorHAnsi" w:hAnsi="Arial" w:cs="Arial"/>
          <w:sz w:val="20"/>
          <w:szCs w:val="20"/>
          <w:lang w:eastAsia="en-US"/>
        </w:rPr>
        <w:t xml:space="preserve">inferiore </w:t>
      </w:r>
      <w:r w:rsidR="005E673C" w:rsidRPr="00AB7EC7">
        <w:rPr>
          <w:rFonts w:ascii="Arial" w:eastAsiaTheme="minorHAnsi" w:hAnsi="Arial" w:cs="Arial"/>
          <w:sz w:val="20"/>
          <w:szCs w:val="20"/>
          <w:lang w:eastAsia="en-US"/>
        </w:rPr>
        <w:t>a</w:t>
      </w:r>
      <w:r w:rsidR="00AB3B7E" w:rsidRPr="00AB7EC7">
        <w:rPr>
          <w:rFonts w:ascii="Arial" w:eastAsiaTheme="minorHAnsi" w:hAnsi="Arial" w:cs="Arial"/>
          <w:sz w:val="20"/>
          <w:szCs w:val="20"/>
          <w:lang w:eastAsia="en-US"/>
        </w:rPr>
        <w:t>lla media nazionale (</w:t>
      </w:r>
      <w:r w:rsidR="00CB2A8E" w:rsidRPr="00AB7EC7">
        <w:rPr>
          <w:rFonts w:ascii="Arial" w:eastAsiaTheme="minorHAnsi" w:hAnsi="Arial" w:cs="Arial"/>
          <w:sz w:val="20"/>
          <w:szCs w:val="20"/>
          <w:lang w:eastAsia="en-US"/>
        </w:rPr>
        <w:t>41</w:t>
      </w:r>
      <w:r w:rsidR="00D41D51" w:rsidRPr="00AB7EC7">
        <w:rPr>
          <w:rFonts w:ascii="Arial" w:eastAsiaTheme="minorHAnsi" w:hAnsi="Arial" w:cs="Arial"/>
          <w:sz w:val="20"/>
          <w:szCs w:val="20"/>
          <w:lang w:eastAsia="en-US"/>
        </w:rPr>
        <w:t>,</w:t>
      </w:r>
      <w:r w:rsidR="00CB2A8E" w:rsidRPr="00AB7EC7">
        <w:rPr>
          <w:rFonts w:ascii="Arial" w:eastAsiaTheme="minorHAnsi" w:hAnsi="Arial" w:cs="Arial"/>
          <w:sz w:val="20"/>
          <w:szCs w:val="20"/>
          <w:lang w:eastAsia="en-US"/>
        </w:rPr>
        <w:t>7</w:t>
      </w:r>
      <w:r w:rsidR="00A20995" w:rsidRPr="00AB7EC7">
        <w:rPr>
          <w:rFonts w:ascii="Arial" w:eastAsiaTheme="minorHAnsi" w:hAnsi="Arial" w:cs="Arial"/>
          <w:sz w:val="20"/>
          <w:szCs w:val="20"/>
          <w:lang w:eastAsia="en-US"/>
        </w:rPr>
        <w:t xml:space="preserve">% contro </w:t>
      </w:r>
      <w:r w:rsidR="00483890" w:rsidRPr="00AB7EC7">
        <w:rPr>
          <w:rFonts w:ascii="Arial" w:eastAsiaTheme="minorHAnsi" w:hAnsi="Arial" w:cs="Arial"/>
          <w:sz w:val="20"/>
          <w:szCs w:val="20"/>
          <w:lang w:eastAsia="en-US"/>
        </w:rPr>
        <w:t>4</w:t>
      </w:r>
      <w:r w:rsidR="00CB2A8E" w:rsidRPr="00AB7EC7">
        <w:rPr>
          <w:rFonts w:ascii="Arial" w:eastAsiaTheme="minorHAnsi" w:hAnsi="Arial" w:cs="Arial"/>
          <w:sz w:val="20"/>
          <w:szCs w:val="20"/>
          <w:lang w:eastAsia="en-US"/>
        </w:rPr>
        <w:t>3</w:t>
      </w:r>
      <w:r w:rsidR="00483890" w:rsidRPr="00AB7EC7">
        <w:rPr>
          <w:rFonts w:ascii="Arial" w:eastAsiaTheme="minorHAnsi" w:hAnsi="Arial" w:cs="Arial"/>
          <w:sz w:val="20"/>
          <w:szCs w:val="20"/>
          <w:lang w:eastAsia="en-US"/>
        </w:rPr>
        <w:t>,9</w:t>
      </w:r>
      <w:r w:rsidR="00FC01AA" w:rsidRPr="00AB7EC7">
        <w:rPr>
          <w:rFonts w:ascii="Arial" w:eastAsiaTheme="minorHAnsi" w:hAnsi="Arial" w:cs="Arial"/>
          <w:sz w:val="20"/>
          <w:szCs w:val="20"/>
          <w:lang w:eastAsia="en-US"/>
        </w:rPr>
        <w:t>%</w:t>
      </w:r>
      <w:r w:rsidR="00A20995" w:rsidRPr="00AB7EC7">
        <w:rPr>
          <w:rFonts w:ascii="Arial" w:eastAsiaTheme="minorHAnsi" w:hAnsi="Arial" w:cs="Arial"/>
          <w:sz w:val="20"/>
          <w:szCs w:val="20"/>
          <w:lang w:eastAsia="en-US"/>
        </w:rPr>
        <w:t>)</w:t>
      </w:r>
      <w:r w:rsidR="00BC1E0A" w:rsidRPr="00AB7EC7">
        <w:rPr>
          <w:rFonts w:ascii="Arial" w:eastAsiaTheme="minorHAnsi" w:hAnsi="Arial" w:cs="Arial"/>
          <w:sz w:val="20"/>
          <w:szCs w:val="20"/>
          <w:lang w:eastAsia="en-US"/>
        </w:rPr>
        <w:t>.</w:t>
      </w:r>
      <w:r w:rsidR="00A20995" w:rsidRPr="00AB7EC7">
        <w:rPr>
          <w:rFonts w:ascii="Arial" w:eastAsiaTheme="minorHAnsi" w:hAnsi="Arial" w:cs="Arial"/>
          <w:sz w:val="20"/>
          <w:szCs w:val="20"/>
          <w:lang w:eastAsia="en-US"/>
        </w:rPr>
        <w:t xml:space="preserve"> </w:t>
      </w:r>
      <w:r w:rsidR="00F81B14" w:rsidRPr="00AB7EC7">
        <w:rPr>
          <w:rFonts w:ascii="Arial" w:eastAsiaTheme="minorHAnsi" w:hAnsi="Arial" w:cs="Arial"/>
          <w:sz w:val="20"/>
          <w:szCs w:val="20"/>
          <w:lang w:eastAsia="en-US"/>
        </w:rPr>
        <w:t xml:space="preserve"> </w:t>
      </w:r>
    </w:p>
    <w:p w14:paraId="7BC16E8D" w14:textId="42021C8B" w:rsidR="008A7F7B" w:rsidRPr="00AB7EC7" w:rsidRDefault="00CA7583" w:rsidP="00DC417B">
      <w:pPr>
        <w:spacing w:after="120"/>
        <w:jc w:val="both"/>
        <w:rPr>
          <w:rFonts w:ascii="Arial" w:eastAsiaTheme="minorHAnsi" w:hAnsi="Arial" w:cs="Arial"/>
          <w:sz w:val="20"/>
          <w:szCs w:val="20"/>
          <w:lang w:eastAsia="en-US"/>
        </w:rPr>
      </w:pPr>
      <w:r w:rsidRPr="00AB7EC7">
        <w:rPr>
          <w:rFonts w:ascii="Arial" w:eastAsiaTheme="minorHAnsi" w:hAnsi="Arial" w:cs="Arial"/>
          <w:sz w:val="20"/>
          <w:szCs w:val="20"/>
          <w:lang w:eastAsia="en-US"/>
        </w:rPr>
        <w:t>Gua</w:t>
      </w:r>
      <w:r w:rsidR="00F26105" w:rsidRPr="00AB7EC7">
        <w:rPr>
          <w:rFonts w:ascii="Arial" w:eastAsiaTheme="minorHAnsi" w:hAnsi="Arial" w:cs="Arial"/>
          <w:sz w:val="20"/>
          <w:szCs w:val="20"/>
          <w:lang w:eastAsia="en-US"/>
        </w:rPr>
        <w:t>r</w:t>
      </w:r>
      <w:r w:rsidRPr="00AB7EC7">
        <w:rPr>
          <w:rFonts w:ascii="Arial" w:eastAsiaTheme="minorHAnsi" w:hAnsi="Arial" w:cs="Arial"/>
          <w:sz w:val="20"/>
          <w:szCs w:val="20"/>
          <w:lang w:eastAsia="en-US"/>
        </w:rPr>
        <w:t xml:space="preserve">dando invece </w:t>
      </w:r>
      <w:r w:rsidR="00F26105" w:rsidRPr="00AB7EC7">
        <w:rPr>
          <w:rFonts w:ascii="Arial" w:eastAsiaTheme="minorHAnsi" w:hAnsi="Arial" w:cs="Arial"/>
          <w:sz w:val="20"/>
          <w:szCs w:val="20"/>
          <w:lang w:eastAsia="en-US"/>
        </w:rPr>
        <w:t>a</w:t>
      </w:r>
      <w:r w:rsidR="006D2AF6" w:rsidRPr="00AB7EC7">
        <w:rPr>
          <w:rFonts w:ascii="Arial" w:eastAsiaTheme="minorHAnsi" w:hAnsi="Arial" w:cs="Arial"/>
          <w:sz w:val="20"/>
          <w:szCs w:val="20"/>
          <w:lang w:eastAsia="en-US"/>
        </w:rPr>
        <w:t>gli utenti vulnerabili</w:t>
      </w:r>
      <w:r w:rsidR="00A20995" w:rsidRPr="00AB7EC7">
        <w:rPr>
          <w:rFonts w:ascii="Arial" w:eastAsiaTheme="minorHAnsi" w:hAnsi="Arial" w:cs="Arial"/>
          <w:sz w:val="20"/>
          <w:szCs w:val="20"/>
          <w:lang w:eastAsia="en-US"/>
        </w:rPr>
        <w:t xml:space="preserve"> </w:t>
      </w:r>
      <w:r w:rsidRPr="00AB7EC7">
        <w:rPr>
          <w:rFonts w:ascii="Arial" w:eastAsiaTheme="minorHAnsi" w:hAnsi="Arial" w:cs="Arial"/>
          <w:sz w:val="20"/>
          <w:szCs w:val="20"/>
          <w:lang w:eastAsia="en-US"/>
        </w:rPr>
        <w:t xml:space="preserve">secondo il ruolo che essi </w:t>
      </w:r>
      <w:r w:rsidR="00A20995" w:rsidRPr="00AB7EC7">
        <w:rPr>
          <w:rFonts w:ascii="Arial" w:eastAsiaTheme="minorHAnsi" w:hAnsi="Arial" w:cs="Arial"/>
          <w:sz w:val="20"/>
          <w:szCs w:val="20"/>
          <w:lang w:eastAsia="en-US"/>
        </w:rPr>
        <w:t>hanno avuto nell’incidente (conducenti</w:t>
      </w:r>
      <w:r w:rsidR="00413B50" w:rsidRPr="00AB7EC7">
        <w:rPr>
          <w:rFonts w:ascii="Arial" w:eastAsiaTheme="minorHAnsi" w:hAnsi="Arial" w:cs="Arial"/>
          <w:sz w:val="20"/>
          <w:szCs w:val="20"/>
          <w:lang w:eastAsia="en-US"/>
        </w:rPr>
        <w:t xml:space="preserve">, </w:t>
      </w:r>
      <w:r w:rsidR="00A20995" w:rsidRPr="00AB7EC7">
        <w:rPr>
          <w:rFonts w:ascii="Arial" w:eastAsiaTheme="minorHAnsi" w:hAnsi="Arial" w:cs="Arial"/>
          <w:sz w:val="20"/>
          <w:szCs w:val="20"/>
          <w:lang w:eastAsia="en-US"/>
        </w:rPr>
        <w:t>passeggeri di veicoli a due ruote e pedoni)</w:t>
      </w:r>
      <w:r w:rsidR="005C17C4">
        <w:rPr>
          <w:rFonts w:ascii="Arial" w:eastAsiaTheme="minorHAnsi" w:hAnsi="Arial" w:cs="Arial"/>
          <w:sz w:val="20"/>
          <w:szCs w:val="20"/>
          <w:lang w:eastAsia="en-US"/>
        </w:rPr>
        <w:t>,</w:t>
      </w:r>
      <w:r w:rsidR="00966148" w:rsidRPr="00AB7EC7">
        <w:rPr>
          <w:rFonts w:ascii="Arial" w:eastAsiaTheme="minorHAnsi" w:hAnsi="Arial" w:cs="Arial"/>
          <w:sz w:val="20"/>
          <w:szCs w:val="20"/>
          <w:lang w:eastAsia="en-US"/>
        </w:rPr>
        <w:t xml:space="preserve"> </w:t>
      </w:r>
      <w:r w:rsidR="00A20995" w:rsidRPr="00AB7EC7">
        <w:rPr>
          <w:rFonts w:ascii="Arial" w:eastAsiaTheme="minorHAnsi" w:hAnsi="Arial" w:cs="Arial"/>
          <w:sz w:val="20"/>
          <w:szCs w:val="20"/>
          <w:lang w:eastAsia="en-US"/>
        </w:rPr>
        <w:t xml:space="preserve">il </w:t>
      </w:r>
      <w:r w:rsidRPr="00AB7EC7">
        <w:rPr>
          <w:rFonts w:ascii="Arial" w:eastAsiaTheme="minorHAnsi" w:hAnsi="Arial" w:cs="Arial"/>
          <w:sz w:val="20"/>
          <w:szCs w:val="20"/>
          <w:lang w:eastAsia="en-US"/>
        </w:rPr>
        <w:t xml:space="preserve">loro </w:t>
      </w:r>
      <w:r w:rsidR="00A20995" w:rsidRPr="00AB7EC7">
        <w:rPr>
          <w:rFonts w:ascii="Arial" w:eastAsiaTheme="minorHAnsi" w:hAnsi="Arial" w:cs="Arial"/>
          <w:sz w:val="20"/>
          <w:szCs w:val="20"/>
          <w:lang w:eastAsia="en-US"/>
        </w:rPr>
        <w:t xml:space="preserve">peso relativo </w:t>
      </w:r>
      <w:r w:rsidR="00CB2A8E" w:rsidRPr="00AB7EC7">
        <w:rPr>
          <w:rFonts w:ascii="Arial" w:eastAsiaTheme="minorHAnsi" w:hAnsi="Arial" w:cs="Arial"/>
          <w:sz w:val="20"/>
          <w:szCs w:val="20"/>
          <w:lang w:eastAsia="en-US"/>
        </w:rPr>
        <w:t>(</w:t>
      </w:r>
      <w:r w:rsidR="00911F4D">
        <w:rPr>
          <w:rFonts w:ascii="Arial" w:eastAsiaTheme="minorHAnsi" w:hAnsi="Arial" w:cs="Arial"/>
          <w:sz w:val="20"/>
          <w:szCs w:val="20"/>
          <w:lang w:eastAsia="en-US"/>
        </w:rPr>
        <w:t xml:space="preserve">calcolato </w:t>
      </w:r>
      <w:r w:rsidR="00A20995" w:rsidRPr="00AB7EC7">
        <w:rPr>
          <w:rFonts w:ascii="Arial" w:eastAsiaTheme="minorHAnsi" w:hAnsi="Arial" w:cs="Arial"/>
          <w:sz w:val="20"/>
          <w:szCs w:val="20"/>
          <w:lang w:eastAsia="en-US"/>
        </w:rPr>
        <w:t>sul totale dei deceduti</w:t>
      </w:r>
      <w:r w:rsidR="00966148" w:rsidRPr="00AB7EC7">
        <w:rPr>
          <w:rFonts w:ascii="Arial" w:eastAsiaTheme="minorHAnsi" w:hAnsi="Arial" w:cs="Arial"/>
          <w:sz w:val="20"/>
          <w:szCs w:val="20"/>
          <w:lang w:eastAsia="en-US"/>
        </w:rPr>
        <w:t xml:space="preserve"> </w:t>
      </w:r>
      <w:r w:rsidR="00911F4D">
        <w:rPr>
          <w:rFonts w:ascii="Arial" w:eastAsiaTheme="minorHAnsi" w:hAnsi="Arial" w:cs="Arial"/>
          <w:sz w:val="20"/>
          <w:szCs w:val="20"/>
          <w:lang w:eastAsia="en-US"/>
        </w:rPr>
        <w:t>per</w:t>
      </w:r>
      <w:r w:rsidR="00966148" w:rsidRPr="00AB7EC7">
        <w:rPr>
          <w:rFonts w:ascii="Arial" w:eastAsiaTheme="minorHAnsi" w:hAnsi="Arial" w:cs="Arial"/>
          <w:sz w:val="20"/>
          <w:szCs w:val="20"/>
          <w:lang w:eastAsia="en-US"/>
        </w:rPr>
        <w:t xml:space="preserve"> incidenti stradali</w:t>
      </w:r>
      <w:r w:rsidR="00CB2A8E" w:rsidRPr="00AB7EC7">
        <w:rPr>
          <w:rFonts w:ascii="Arial" w:eastAsiaTheme="minorHAnsi" w:hAnsi="Arial" w:cs="Arial"/>
          <w:sz w:val="20"/>
          <w:szCs w:val="20"/>
          <w:lang w:eastAsia="en-US"/>
        </w:rPr>
        <w:t>)</w:t>
      </w:r>
      <w:r w:rsidR="00966148" w:rsidRPr="00AB7EC7">
        <w:rPr>
          <w:rFonts w:ascii="Arial" w:eastAsiaTheme="minorHAnsi" w:hAnsi="Arial" w:cs="Arial"/>
          <w:sz w:val="20"/>
          <w:szCs w:val="20"/>
          <w:lang w:eastAsia="en-US"/>
        </w:rPr>
        <w:t xml:space="preserve"> </w:t>
      </w:r>
      <w:r w:rsidR="00C86335" w:rsidRPr="00AB7EC7">
        <w:rPr>
          <w:rFonts w:ascii="Arial" w:eastAsiaTheme="minorHAnsi" w:hAnsi="Arial" w:cs="Arial"/>
          <w:sz w:val="20"/>
          <w:szCs w:val="20"/>
          <w:lang w:eastAsia="en-US"/>
        </w:rPr>
        <w:t xml:space="preserve">è inferiore </w:t>
      </w:r>
      <w:r w:rsidR="00A20995" w:rsidRPr="00AB7EC7">
        <w:rPr>
          <w:rFonts w:ascii="Arial" w:eastAsiaTheme="minorHAnsi" w:hAnsi="Arial" w:cs="Arial"/>
          <w:sz w:val="20"/>
          <w:szCs w:val="20"/>
          <w:lang w:eastAsia="en-US"/>
        </w:rPr>
        <w:t xml:space="preserve">a quello nazionale </w:t>
      </w:r>
      <w:r w:rsidR="00C86335" w:rsidRPr="00AB7EC7">
        <w:rPr>
          <w:rFonts w:ascii="Arial" w:eastAsiaTheme="minorHAnsi" w:hAnsi="Arial" w:cs="Arial"/>
          <w:sz w:val="20"/>
          <w:szCs w:val="20"/>
          <w:lang w:eastAsia="en-US"/>
        </w:rPr>
        <w:t>(</w:t>
      </w:r>
      <w:r w:rsidR="00CB2A8E" w:rsidRPr="00AB7EC7">
        <w:rPr>
          <w:rFonts w:ascii="Arial" w:eastAsiaTheme="minorHAnsi" w:hAnsi="Arial" w:cs="Arial"/>
          <w:sz w:val="20"/>
          <w:szCs w:val="20"/>
          <w:lang w:eastAsia="en-US"/>
        </w:rPr>
        <w:t>rispettivamente 33,3</w:t>
      </w:r>
      <w:r w:rsidR="00A20995" w:rsidRPr="00AB7EC7">
        <w:rPr>
          <w:rFonts w:ascii="Arial" w:eastAsiaTheme="minorHAnsi" w:hAnsi="Arial" w:cs="Arial"/>
          <w:sz w:val="20"/>
          <w:szCs w:val="20"/>
          <w:lang w:eastAsia="en-US"/>
        </w:rPr>
        <w:t>%</w:t>
      </w:r>
      <w:r w:rsidR="00CB2A8E" w:rsidRPr="00AB7EC7">
        <w:rPr>
          <w:rFonts w:ascii="Arial" w:eastAsiaTheme="minorHAnsi" w:hAnsi="Arial" w:cs="Arial"/>
          <w:sz w:val="20"/>
          <w:szCs w:val="20"/>
          <w:lang w:eastAsia="en-US"/>
        </w:rPr>
        <w:t xml:space="preserve"> e</w:t>
      </w:r>
      <w:r w:rsidR="00A20995" w:rsidRPr="00AB7EC7">
        <w:rPr>
          <w:rFonts w:ascii="Arial" w:eastAsiaTheme="minorHAnsi" w:hAnsi="Arial" w:cs="Arial"/>
          <w:sz w:val="20"/>
          <w:szCs w:val="20"/>
          <w:lang w:eastAsia="en-US"/>
        </w:rPr>
        <w:t xml:space="preserve"> </w:t>
      </w:r>
      <w:r w:rsidR="00CB2A8E" w:rsidRPr="00AB7EC7">
        <w:rPr>
          <w:rFonts w:ascii="Arial" w:eastAsiaTheme="minorHAnsi" w:hAnsi="Arial" w:cs="Arial"/>
          <w:sz w:val="20"/>
          <w:szCs w:val="20"/>
          <w:lang w:eastAsia="en-US"/>
        </w:rPr>
        <w:t>50,9</w:t>
      </w:r>
      <w:r w:rsidR="00A20995" w:rsidRPr="00AB7EC7">
        <w:rPr>
          <w:rFonts w:ascii="Arial" w:eastAsiaTheme="minorHAnsi" w:hAnsi="Arial" w:cs="Arial"/>
          <w:sz w:val="20"/>
          <w:szCs w:val="20"/>
          <w:lang w:eastAsia="en-US"/>
        </w:rPr>
        <w:t>%</w:t>
      </w:r>
      <w:r w:rsidR="00CB2A8E" w:rsidRPr="00AB7EC7">
        <w:rPr>
          <w:rFonts w:ascii="Arial" w:eastAsiaTheme="minorHAnsi" w:hAnsi="Arial" w:cs="Arial"/>
          <w:sz w:val="20"/>
          <w:szCs w:val="20"/>
          <w:lang w:eastAsia="en-US"/>
        </w:rPr>
        <w:t>)</w:t>
      </w:r>
      <w:r w:rsidR="00A20995" w:rsidRPr="00AB7EC7">
        <w:rPr>
          <w:rFonts w:ascii="Arial" w:eastAsiaTheme="minorHAnsi" w:hAnsi="Arial" w:cs="Arial"/>
          <w:sz w:val="20"/>
          <w:szCs w:val="20"/>
          <w:lang w:eastAsia="en-US"/>
        </w:rPr>
        <w:t xml:space="preserve">. </w:t>
      </w:r>
      <w:r w:rsidR="00B73AA7" w:rsidRPr="00AB7EC7">
        <w:rPr>
          <w:rFonts w:ascii="Arial" w:eastAsiaTheme="minorHAnsi" w:hAnsi="Arial" w:cs="Arial"/>
          <w:sz w:val="20"/>
          <w:szCs w:val="20"/>
          <w:lang w:eastAsia="en-US"/>
        </w:rPr>
        <w:t xml:space="preserve">Tra il </w:t>
      </w:r>
      <w:r w:rsidR="00A20995" w:rsidRPr="00AB7EC7">
        <w:rPr>
          <w:rFonts w:ascii="Arial" w:eastAsiaTheme="minorHAnsi" w:hAnsi="Arial" w:cs="Arial"/>
          <w:sz w:val="20"/>
          <w:szCs w:val="20"/>
          <w:lang w:eastAsia="en-US"/>
        </w:rPr>
        <w:t>2010</w:t>
      </w:r>
      <w:r w:rsidR="00B73AA7" w:rsidRPr="00AB7EC7">
        <w:rPr>
          <w:rFonts w:ascii="Arial" w:eastAsiaTheme="minorHAnsi" w:hAnsi="Arial" w:cs="Arial"/>
          <w:sz w:val="20"/>
          <w:szCs w:val="20"/>
          <w:lang w:eastAsia="en-US"/>
        </w:rPr>
        <w:t xml:space="preserve"> e il </w:t>
      </w:r>
      <w:r w:rsidR="00F81B14" w:rsidRPr="00AB7EC7">
        <w:rPr>
          <w:rFonts w:ascii="Arial" w:eastAsiaTheme="minorHAnsi" w:hAnsi="Arial" w:cs="Arial"/>
          <w:sz w:val="20"/>
          <w:szCs w:val="20"/>
          <w:lang w:eastAsia="en-US"/>
        </w:rPr>
        <w:t>20</w:t>
      </w:r>
      <w:r w:rsidR="006D5EB7" w:rsidRPr="00AB7EC7">
        <w:rPr>
          <w:rFonts w:ascii="Arial" w:eastAsiaTheme="minorHAnsi" w:hAnsi="Arial" w:cs="Arial"/>
          <w:sz w:val="20"/>
          <w:szCs w:val="20"/>
          <w:lang w:eastAsia="en-US"/>
        </w:rPr>
        <w:t>2</w:t>
      </w:r>
      <w:r w:rsidR="00CB2A8E" w:rsidRPr="00AB7EC7">
        <w:rPr>
          <w:rFonts w:ascii="Arial" w:eastAsiaTheme="minorHAnsi" w:hAnsi="Arial" w:cs="Arial"/>
          <w:sz w:val="20"/>
          <w:szCs w:val="20"/>
          <w:lang w:eastAsia="en-US"/>
        </w:rPr>
        <w:t>1</w:t>
      </w:r>
      <w:r w:rsidRPr="00AB7EC7">
        <w:rPr>
          <w:rFonts w:ascii="Arial" w:eastAsiaTheme="minorHAnsi" w:hAnsi="Arial" w:cs="Arial"/>
          <w:sz w:val="20"/>
          <w:szCs w:val="20"/>
          <w:lang w:eastAsia="en-US"/>
        </w:rPr>
        <w:t xml:space="preserve"> </w:t>
      </w:r>
      <w:r w:rsidR="00FA5CD3" w:rsidRPr="00AB7EC7">
        <w:rPr>
          <w:rFonts w:ascii="Arial" w:eastAsiaTheme="minorHAnsi" w:hAnsi="Arial" w:cs="Arial"/>
          <w:sz w:val="20"/>
          <w:szCs w:val="20"/>
          <w:lang w:eastAsia="en-US"/>
        </w:rPr>
        <w:t xml:space="preserve">in Basilicata </w:t>
      </w:r>
      <w:r w:rsidRPr="00AB7EC7">
        <w:rPr>
          <w:rFonts w:ascii="Arial" w:eastAsiaTheme="minorHAnsi" w:hAnsi="Arial" w:cs="Arial"/>
          <w:sz w:val="20"/>
          <w:szCs w:val="20"/>
          <w:lang w:eastAsia="en-US"/>
        </w:rPr>
        <w:t xml:space="preserve">l’incidenza </w:t>
      </w:r>
      <w:r w:rsidR="00C92D54" w:rsidRPr="00AB7EC7">
        <w:rPr>
          <w:rFonts w:ascii="Arial" w:eastAsiaTheme="minorHAnsi" w:hAnsi="Arial" w:cs="Arial"/>
          <w:sz w:val="20"/>
          <w:szCs w:val="20"/>
          <w:lang w:eastAsia="en-US"/>
        </w:rPr>
        <w:t xml:space="preserve">dei </w:t>
      </w:r>
      <w:r w:rsidRPr="00AB7EC7">
        <w:rPr>
          <w:rFonts w:ascii="Arial" w:eastAsiaTheme="minorHAnsi" w:hAnsi="Arial" w:cs="Arial"/>
          <w:sz w:val="20"/>
          <w:szCs w:val="20"/>
          <w:lang w:eastAsia="en-US"/>
        </w:rPr>
        <w:t xml:space="preserve">pedoni deceduti </w:t>
      </w:r>
      <w:r w:rsidR="00055EF9" w:rsidRPr="00AB7EC7">
        <w:rPr>
          <w:rFonts w:ascii="Arial" w:eastAsiaTheme="minorHAnsi" w:hAnsi="Arial" w:cs="Arial"/>
          <w:sz w:val="20"/>
          <w:szCs w:val="20"/>
          <w:lang w:eastAsia="en-US"/>
        </w:rPr>
        <w:t>è aumentata</w:t>
      </w:r>
      <w:r w:rsidR="008F0162" w:rsidRPr="00AB7EC7">
        <w:rPr>
          <w:rFonts w:ascii="Arial" w:eastAsiaTheme="minorHAnsi" w:hAnsi="Arial" w:cs="Arial"/>
          <w:sz w:val="20"/>
          <w:szCs w:val="20"/>
          <w:lang w:eastAsia="en-US"/>
        </w:rPr>
        <w:t xml:space="preserve"> </w:t>
      </w:r>
      <w:r w:rsidR="00A20995" w:rsidRPr="00AB7EC7">
        <w:rPr>
          <w:rFonts w:ascii="Arial" w:eastAsiaTheme="minorHAnsi" w:hAnsi="Arial" w:cs="Arial"/>
          <w:sz w:val="20"/>
          <w:szCs w:val="20"/>
          <w:lang w:eastAsia="en-US"/>
        </w:rPr>
        <w:t>da</w:t>
      </w:r>
      <w:r w:rsidR="001C3C45" w:rsidRPr="00AB7EC7">
        <w:rPr>
          <w:rFonts w:ascii="Arial" w:eastAsiaTheme="minorHAnsi" w:hAnsi="Arial" w:cs="Arial"/>
          <w:sz w:val="20"/>
          <w:szCs w:val="20"/>
          <w:lang w:eastAsia="en-US"/>
        </w:rPr>
        <w:t>l</w:t>
      </w:r>
      <w:r w:rsidR="00A20995" w:rsidRPr="00AB7EC7">
        <w:rPr>
          <w:rFonts w:ascii="Arial" w:eastAsiaTheme="minorHAnsi" w:hAnsi="Arial" w:cs="Arial"/>
          <w:sz w:val="20"/>
          <w:szCs w:val="20"/>
          <w:lang w:eastAsia="en-US"/>
        </w:rPr>
        <w:t xml:space="preserve"> </w:t>
      </w:r>
      <w:r w:rsidR="00055EF9" w:rsidRPr="00AB7EC7">
        <w:rPr>
          <w:rFonts w:ascii="Arial" w:eastAsiaTheme="minorHAnsi" w:hAnsi="Arial" w:cs="Arial"/>
          <w:sz w:val="20"/>
          <w:szCs w:val="20"/>
          <w:lang w:eastAsia="en-US"/>
        </w:rPr>
        <w:t>10,4</w:t>
      </w:r>
      <w:r w:rsidR="00A20995" w:rsidRPr="00AB7EC7">
        <w:rPr>
          <w:rFonts w:ascii="Arial" w:eastAsiaTheme="minorHAnsi" w:hAnsi="Arial" w:cs="Arial"/>
          <w:sz w:val="20"/>
          <w:szCs w:val="20"/>
          <w:lang w:eastAsia="en-US"/>
        </w:rPr>
        <w:t xml:space="preserve">% </w:t>
      </w:r>
      <w:r w:rsidR="008F0162" w:rsidRPr="00AB7EC7">
        <w:rPr>
          <w:rFonts w:ascii="Arial" w:eastAsiaTheme="minorHAnsi" w:hAnsi="Arial" w:cs="Arial"/>
          <w:sz w:val="20"/>
          <w:szCs w:val="20"/>
          <w:lang w:eastAsia="en-US"/>
        </w:rPr>
        <w:t>a</w:t>
      </w:r>
      <w:r w:rsidR="001C3C45" w:rsidRPr="00AB7EC7">
        <w:rPr>
          <w:rFonts w:ascii="Arial" w:eastAsiaTheme="minorHAnsi" w:hAnsi="Arial" w:cs="Arial"/>
          <w:sz w:val="20"/>
          <w:szCs w:val="20"/>
          <w:lang w:eastAsia="en-US"/>
        </w:rPr>
        <w:t>l</w:t>
      </w:r>
      <w:r w:rsidR="008F0162" w:rsidRPr="00AB7EC7">
        <w:rPr>
          <w:rFonts w:ascii="Arial" w:eastAsiaTheme="minorHAnsi" w:hAnsi="Arial" w:cs="Arial"/>
          <w:sz w:val="20"/>
          <w:szCs w:val="20"/>
          <w:lang w:eastAsia="en-US"/>
        </w:rPr>
        <w:t xml:space="preserve"> </w:t>
      </w:r>
      <w:r w:rsidR="006E0573" w:rsidRPr="00AB7EC7">
        <w:rPr>
          <w:rFonts w:ascii="Arial" w:eastAsiaTheme="minorHAnsi" w:hAnsi="Arial" w:cs="Arial"/>
          <w:sz w:val="20"/>
          <w:szCs w:val="20"/>
          <w:lang w:eastAsia="en-US"/>
        </w:rPr>
        <w:t>13,9</w:t>
      </w:r>
      <w:r w:rsidR="008F0162" w:rsidRPr="00AB7EC7">
        <w:rPr>
          <w:rFonts w:ascii="Arial" w:eastAsiaTheme="minorHAnsi" w:hAnsi="Arial" w:cs="Arial"/>
          <w:sz w:val="20"/>
          <w:szCs w:val="20"/>
          <w:lang w:eastAsia="en-US"/>
        </w:rPr>
        <w:t>%</w:t>
      </w:r>
      <w:r w:rsidR="00911F4D">
        <w:rPr>
          <w:rFonts w:ascii="Arial" w:eastAsiaTheme="minorHAnsi" w:hAnsi="Arial" w:cs="Arial"/>
          <w:sz w:val="20"/>
          <w:szCs w:val="20"/>
          <w:lang w:eastAsia="en-US"/>
        </w:rPr>
        <w:t xml:space="preserve"> mentre </w:t>
      </w:r>
      <w:r w:rsidR="001C3C45" w:rsidRPr="00AB7EC7">
        <w:rPr>
          <w:rFonts w:ascii="Arial" w:eastAsiaTheme="minorHAnsi" w:hAnsi="Arial" w:cs="Arial"/>
          <w:sz w:val="20"/>
          <w:szCs w:val="20"/>
          <w:lang w:eastAsia="en-US"/>
        </w:rPr>
        <w:t xml:space="preserve">quella delle vittime a bordo di veicoli a due ruote </w:t>
      </w:r>
      <w:r w:rsidR="006E0573" w:rsidRPr="00AB7EC7">
        <w:rPr>
          <w:rFonts w:ascii="Arial" w:eastAsiaTheme="minorHAnsi" w:hAnsi="Arial" w:cs="Arial"/>
          <w:sz w:val="20"/>
          <w:szCs w:val="20"/>
          <w:lang w:eastAsia="en-US"/>
        </w:rPr>
        <w:t>si è leggermente ridotta</w:t>
      </w:r>
      <w:r w:rsidR="005C17C4">
        <w:rPr>
          <w:rFonts w:ascii="Arial" w:eastAsiaTheme="minorHAnsi" w:hAnsi="Arial" w:cs="Arial"/>
          <w:sz w:val="20"/>
          <w:szCs w:val="20"/>
          <w:lang w:eastAsia="en-US"/>
        </w:rPr>
        <w:t>,</w:t>
      </w:r>
      <w:r w:rsidR="006E0573" w:rsidRPr="00AB7EC7">
        <w:rPr>
          <w:rFonts w:ascii="Arial" w:eastAsiaTheme="minorHAnsi" w:hAnsi="Arial" w:cs="Arial"/>
          <w:sz w:val="20"/>
          <w:szCs w:val="20"/>
          <w:lang w:eastAsia="en-US"/>
        </w:rPr>
        <w:t xml:space="preserve"> </w:t>
      </w:r>
      <w:r w:rsidR="001C3C45" w:rsidRPr="00AB7EC7">
        <w:rPr>
          <w:rFonts w:ascii="Arial" w:eastAsiaTheme="minorHAnsi" w:hAnsi="Arial" w:cs="Arial"/>
          <w:sz w:val="20"/>
          <w:szCs w:val="20"/>
          <w:lang w:eastAsia="en-US"/>
        </w:rPr>
        <w:t xml:space="preserve">dal 20,8% al </w:t>
      </w:r>
      <w:r w:rsidR="006E0573" w:rsidRPr="00AB7EC7">
        <w:rPr>
          <w:rFonts w:ascii="Arial" w:eastAsiaTheme="minorHAnsi" w:hAnsi="Arial" w:cs="Arial"/>
          <w:sz w:val="20"/>
          <w:szCs w:val="20"/>
          <w:lang w:eastAsia="en-US"/>
        </w:rPr>
        <w:t>19,4</w:t>
      </w:r>
      <w:r w:rsidR="001C3C45" w:rsidRPr="00AB7EC7">
        <w:rPr>
          <w:rFonts w:ascii="Arial" w:eastAsiaTheme="minorHAnsi" w:hAnsi="Arial" w:cs="Arial"/>
          <w:sz w:val="20"/>
          <w:szCs w:val="20"/>
          <w:lang w:eastAsia="en-US"/>
        </w:rPr>
        <w:t>%</w:t>
      </w:r>
      <w:r w:rsidR="00FA5CD3" w:rsidRPr="00AB7EC7">
        <w:rPr>
          <w:rFonts w:ascii="Arial" w:eastAsiaTheme="minorHAnsi" w:hAnsi="Arial" w:cs="Arial"/>
          <w:sz w:val="20"/>
          <w:szCs w:val="20"/>
          <w:lang w:eastAsia="en-US"/>
        </w:rPr>
        <w:t>. A</w:t>
      </w:r>
      <w:r w:rsidR="001C3C45" w:rsidRPr="00AB7EC7">
        <w:rPr>
          <w:rFonts w:ascii="Arial" w:eastAsiaTheme="minorHAnsi" w:hAnsi="Arial" w:cs="Arial"/>
          <w:sz w:val="20"/>
          <w:szCs w:val="20"/>
          <w:lang w:eastAsia="en-US"/>
        </w:rPr>
        <w:t xml:space="preserve"> livello nazionale</w:t>
      </w:r>
      <w:r w:rsidR="001D067E" w:rsidRPr="00AB7EC7">
        <w:rPr>
          <w:rFonts w:ascii="Arial" w:eastAsiaTheme="minorHAnsi" w:hAnsi="Arial" w:cs="Arial"/>
          <w:sz w:val="20"/>
          <w:szCs w:val="20"/>
          <w:lang w:eastAsia="en-US"/>
        </w:rPr>
        <w:t>,</w:t>
      </w:r>
      <w:r w:rsidR="00B11794" w:rsidRPr="00AB7EC7">
        <w:rPr>
          <w:rFonts w:ascii="Arial" w:eastAsiaTheme="minorHAnsi" w:hAnsi="Arial" w:cs="Arial"/>
          <w:sz w:val="20"/>
          <w:szCs w:val="20"/>
          <w:lang w:eastAsia="en-US"/>
        </w:rPr>
        <w:t xml:space="preserve"> </w:t>
      </w:r>
      <w:r w:rsidR="001C3C45" w:rsidRPr="00AB7EC7">
        <w:rPr>
          <w:rFonts w:ascii="Arial" w:eastAsiaTheme="minorHAnsi" w:hAnsi="Arial" w:cs="Arial"/>
          <w:sz w:val="20"/>
          <w:szCs w:val="20"/>
          <w:lang w:eastAsia="en-US"/>
        </w:rPr>
        <w:t>l’incidenza</w:t>
      </w:r>
      <w:r w:rsidR="00D76442" w:rsidRPr="00AB7EC7">
        <w:rPr>
          <w:rFonts w:ascii="Arial" w:eastAsiaTheme="minorHAnsi" w:hAnsi="Arial" w:cs="Arial"/>
          <w:sz w:val="20"/>
          <w:szCs w:val="20"/>
          <w:lang w:eastAsia="en-US"/>
        </w:rPr>
        <w:t xml:space="preserve"> fra le vittime di conducenti e passeggeri di ciclomotori, motocicli e velocipedi è stabile (34,5% </w:t>
      </w:r>
      <w:r w:rsidR="001D067E" w:rsidRPr="00AB7EC7">
        <w:rPr>
          <w:rFonts w:ascii="Arial" w:eastAsiaTheme="minorHAnsi" w:hAnsi="Arial" w:cs="Arial"/>
          <w:sz w:val="20"/>
          <w:szCs w:val="20"/>
          <w:lang w:eastAsia="en-US"/>
        </w:rPr>
        <w:t xml:space="preserve">sia </w:t>
      </w:r>
      <w:r w:rsidR="00D76442" w:rsidRPr="00AB7EC7">
        <w:rPr>
          <w:rFonts w:ascii="Arial" w:eastAsiaTheme="minorHAnsi" w:hAnsi="Arial" w:cs="Arial"/>
          <w:sz w:val="20"/>
          <w:szCs w:val="20"/>
          <w:lang w:eastAsia="en-US"/>
        </w:rPr>
        <w:t xml:space="preserve">nel 2010 </w:t>
      </w:r>
      <w:r w:rsidR="001D067E" w:rsidRPr="00AB7EC7">
        <w:rPr>
          <w:rFonts w:ascii="Arial" w:eastAsiaTheme="minorHAnsi" w:hAnsi="Arial" w:cs="Arial"/>
          <w:sz w:val="20"/>
          <w:szCs w:val="20"/>
          <w:lang w:eastAsia="en-US"/>
        </w:rPr>
        <w:t xml:space="preserve">che </w:t>
      </w:r>
      <w:r w:rsidR="00D76442" w:rsidRPr="00AB7EC7">
        <w:rPr>
          <w:rFonts w:ascii="Arial" w:eastAsiaTheme="minorHAnsi" w:hAnsi="Arial" w:cs="Arial"/>
          <w:sz w:val="20"/>
          <w:szCs w:val="20"/>
          <w:lang w:eastAsia="en-US"/>
        </w:rPr>
        <w:t>nel 202</w:t>
      </w:r>
      <w:r w:rsidR="006E0573" w:rsidRPr="00AB7EC7">
        <w:rPr>
          <w:rFonts w:ascii="Arial" w:eastAsiaTheme="minorHAnsi" w:hAnsi="Arial" w:cs="Arial"/>
          <w:sz w:val="20"/>
          <w:szCs w:val="20"/>
          <w:lang w:eastAsia="en-US"/>
        </w:rPr>
        <w:t>1</w:t>
      </w:r>
      <w:r w:rsidR="001D067E" w:rsidRPr="00AB7EC7">
        <w:rPr>
          <w:rFonts w:ascii="Arial" w:eastAsiaTheme="minorHAnsi" w:hAnsi="Arial" w:cs="Arial"/>
          <w:sz w:val="20"/>
          <w:szCs w:val="20"/>
          <w:lang w:eastAsia="en-US"/>
        </w:rPr>
        <w:t xml:space="preserve">) mentre </w:t>
      </w:r>
      <w:r w:rsidR="00D76442" w:rsidRPr="00AB7EC7">
        <w:rPr>
          <w:rFonts w:ascii="Arial" w:eastAsiaTheme="minorHAnsi" w:hAnsi="Arial" w:cs="Arial"/>
          <w:sz w:val="20"/>
          <w:szCs w:val="20"/>
          <w:lang w:eastAsia="en-US"/>
        </w:rPr>
        <w:t>quella dei</w:t>
      </w:r>
      <w:r w:rsidR="001C3C45" w:rsidRPr="00AB7EC7">
        <w:rPr>
          <w:rFonts w:ascii="Arial" w:eastAsiaTheme="minorHAnsi" w:hAnsi="Arial" w:cs="Arial"/>
          <w:sz w:val="20"/>
          <w:szCs w:val="20"/>
          <w:lang w:eastAsia="en-US"/>
        </w:rPr>
        <w:t xml:space="preserve"> </w:t>
      </w:r>
      <w:r w:rsidR="00AB7EC7" w:rsidRPr="00AB7EC7">
        <w:rPr>
          <w:rFonts w:ascii="Arial" w:eastAsiaTheme="minorHAnsi" w:hAnsi="Arial" w:cs="Arial"/>
          <w:sz w:val="20"/>
          <w:szCs w:val="20"/>
          <w:lang w:eastAsia="en-US"/>
        </w:rPr>
        <w:t>pedoni sale</w:t>
      </w:r>
      <w:r w:rsidR="001C3C45" w:rsidRPr="00AB7EC7">
        <w:rPr>
          <w:rFonts w:ascii="Arial" w:eastAsiaTheme="minorHAnsi" w:hAnsi="Arial" w:cs="Arial"/>
          <w:sz w:val="20"/>
          <w:szCs w:val="20"/>
          <w:lang w:eastAsia="en-US"/>
        </w:rPr>
        <w:t xml:space="preserve"> dal</w:t>
      </w:r>
      <w:r w:rsidR="00A20995" w:rsidRPr="00AB7EC7">
        <w:rPr>
          <w:rFonts w:ascii="Arial" w:eastAsiaTheme="minorHAnsi" w:hAnsi="Arial" w:cs="Arial"/>
          <w:sz w:val="20"/>
          <w:szCs w:val="20"/>
          <w:lang w:eastAsia="en-US"/>
        </w:rPr>
        <w:t xml:space="preserve"> 15,1% a</w:t>
      </w:r>
      <w:r w:rsidR="001C3C45" w:rsidRPr="00AB7EC7">
        <w:rPr>
          <w:rFonts w:ascii="Arial" w:eastAsiaTheme="minorHAnsi" w:hAnsi="Arial" w:cs="Arial"/>
          <w:sz w:val="20"/>
          <w:szCs w:val="20"/>
          <w:lang w:eastAsia="en-US"/>
        </w:rPr>
        <w:t>l</w:t>
      </w:r>
      <w:r w:rsidR="00A20995" w:rsidRPr="00AB7EC7">
        <w:rPr>
          <w:rFonts w:ascii="Arial" w:eastAsiaTheme="minorHAnsi" w:hAnsi="Arial" w:cs="Arial"/>
          <w:sz w:val="20"/>
          <w:szCs w:val="20"/>
          <w:lang w:eastAsia="en-US"/>
        </w:rPr>
        <w:t xml:space="preserve"> </w:t>
      </w:r>
      <w:r w:rsidR="006E0573" w:rsidRPr="00AB7EC7">
        <w:rPr>
          <w:rFonts w:ascii="Arial" w:eastAsiaTheme="minorHAnsi" w:hAnsi="Arial" w:cs="Arial"/>
          <w:sz w:val="20"/>
          <w:szCs w:val="20"/>
          <w:lang w:eastAsia="en-US"/>
        </w:rPr>
        <w:t>16,4</w:t>
      </w:r>
      <w:r w:rsidR="00A20995" w:rsidRPr="00AB7EC7">
        <w:rPr>
          <w:rFonts w:ascii="Arial" w:eastAsiaTheme="minorHAnsi" w:hAnsi="Arial" w:cs="Arial"/>
          <w:sz w:val="20"/>
          <w:szCs w:val="20"/>
          <w:lang w:eastAsia="en-US"/>
        </w:rPr>
        <w:t xml:space="preserve">% (Figura 1). </w:t>
      </w:r>
    </w:p>
    <w:p w14:paraId="5A92ED5E" w14:textId="675279F3" w:rsidR="0095489B" w:rsidRDefault="0095489B" w:rsidP="009A53C3">
      <w:pPr>
        <w:jc w:val="both"/>
        <w:rPr>
          <w:rFonts w:ascii="Arial" w:eastAsiaTheme="minorHAnsi" w:hAnsi="Arial" w:cs="Arial"/>
          <w:b/>
          <w:sz w:val="22"/>
          <w:szCs w:val="22"/>
          <w:lang w:eastAsia="en-US"/>
        </w:rPr>
      </w:pPr>
    </w:p>
    <w:p w14:paraId="6F97DE74" w14:textId="7B432943" w:rsidR="00EF0711" w:rsidRPr="00086D6B" w:rsidRDefault="00EF0711" w:rsidP="00DC417B">
      <w:pPr>
        <w:spacing w:after="120"/>
        <w:jc w:val="both"/>
        <w:rPr>
          <w:rFonts w:ascii="Arial" w:eastAsiaTheme="minorHAnsi" w:hAnsi="Arial" w:cs="Arial"/>
          <w:b/>
          <w:sz w:val="22"/>
          <w:szCs w:val="22"/>
          <w:lang w:eastAsia="en-US"/>
        </w:rPr>
      </w:pPr>
      <w:r w:rsidRPr="00086D6B">
        <w:rPr>
          <w:rFonts w:ascii="Arial" w:eastAsiaTheme="minorHAnsi" w:hAnsi="Arial" w:cs="Arial"/>
          <w:b/>
          <w:sz w:val="22"/>
          <w:szCs w:val="22"/>
          <w:lang w:eastAsia="en-US"/>
        </w:rPr>
        <w:t>I costi sociali</w:t>
      </w:r>
    </w:p>
    <w:p w14:paraId="303DF9CF" w14:textId="427D87E3" w:rsidR="00C307B8" w:rsidRPr="003E726D" w:rsidRDefault="006E0573" w:rsidP="00DC417B">
      <w:pPr>
        <w:spacing w:after="120"/>
        <w:jc w:val="both"/>
        <w:rPr>
          <w:rFonts w:ascii="Arial" w:eastAsiaTheme="minorHAnsi" w:hAnsi="Arial" w:cs="Arial"/>
          <w:sz w:val="20"/>
          <w:szCs w:val="20"/>
          <w:lang w:eastAsia="en-US"/>
        </w:rPr>
      </w:pPr>
      <w:r w:rsidRPr="00275FE1">
        <w:rPr>
          <w:rFonts w:ascii="Arial" w:eastAsiaTheme="minorHAnsi" w:hAnsi="Arial" w:cs="Arial"/>
          <w:sz w:val="20"/>
          <w:szCs w:val="20"/>
          <w:lang w:eastAsia="en-US"/>
        </w:rPr>
        <w:t xml:space="preserve">Nel 2021 il costo dell’incidentalità stradale con lesioni alle persone è stimato in </w:t>
      </w:r>
      <w:r w:rsidR="001D067E">
        <w:rPr>
          <w:rFonts w:ascii="Arial" w:eastAsiaTheme="minorHAnsi" w:hAnsi="Arial" w:cs="Arial"/>
          <w:sz w:val="20"/>
          <w:szCs w:val="20"/>
          <w:lang w:eastAsia="en-US"/>
        </w:rPr>
        <w:t>ca.</w:t>
      </w:r>
      <w:r w:rsidRPr="00275FE1">
        <w:rPr>
          <w:rFonts w:ascii="Arial" w:eastAsiaTheme="minorHAnsi" w:hAnsi="Arial" w:cs="Arial"/>
          <w:sz w:val="20"/>
          <w:szCs w:val="20"/>
          <w:lang w:eastAsia="en-US"/>
        </w:rPr>
        <w:t>16 miliardi e 400 milioni di euro per l’intero territorio nazionale (</w:t>
      </w:r>
      <w:r w:rsidR="00017E8D">
        <w:rPr>
          <w:rFonts w:ascii="Arial" w:eastAsiaTheme="minorHAnsi" w:hAnsi="Arial" w:cs="Arial"/>
          <w:sz w:val="20"/>
          <w:szCs w:val="20"/>
          <w:lang w:eastAsia="en-US"/>
        </w:rPr>
        <w:t>277</w:t>
      </w:r>
      <w:r w:rsidRPr="00275FE1">
        <w:rPr>
          <w:rFonts w:ascii="Arial" w:eastAsiaTheme="minorHAnsi" w:hAnsi="Arial" w:cs="Arial"/>
          <w:sz w:val="20"/>
          <w:szCs w:val="20"/>
          <w:lang w:eastAsia="en-US"/>
        </w:rPr>
        <w:t xml:space="preserve"> euro pro capite)</w:t>
      </w:r>
      <w:r>
        <w:rPr>
          <w:rFonts w:ascii="Arial" w:eastAsiaTheme="minorHAnsi" w:hAnsi="Arial" w:cs="Arial"/>
          <w:sz w:val="20"/>
          <w:szCs w:val="20"/>
          <w:lang w:eastAsia="en-US"/>
        </w:rPr>
        <w:t xml:space="preserve"> </w:t>
      </w:r>
      <w:r w:rsidR="00EF0711" w:rsidRPr="003604A8">
        <w:rPr>
          <w:rFonts w:ascii="Arial" w:eastAsiaTheme="minorHAnsi" w:hAnsi="Arial" w:cs="Arial"/>
          <w:sz w:val="20"/>
          <w:szCs w:val="20"/>
          <w:lang w:eastAsia="en-US"/>
        </w:rPr>
        <w:t xml:space="preserve">e </w:t>
      </w:r>
      <w:r w:rsidR="00347511" w:rsidRPr="003604A8">
        <w:rPr>
          <w:rFonts w:ascii="Arial" w:eastAsiaTheme="minorHAnsi" w:hAnsi="Arial" w:cs="Arial"/>
          <w:sz w:val="20"/>
          <w:szCs w:val="20"/>
          <w:lang w:eastAsia="en-US"/>
        </w:rPr>
        <w:t>poco</w:t>
      </w:r>
      <w:r w:rsidR="009976CE" w:rsidRPr="003604A8">
        <w:rPr>
          <w:rFonts w:ascii="Arial" w:eastAsiaTheme="minorHAnsi" w:hAnsi="Arial" w:cs="Arial"/>
          <w:sz w:val="20"/>
          <w:szCs w:val="20"/>
          <w:lang w:eastAsia="en-US"/>
        </w:rPr>
        <w:t xml:space="preserve"> </w:t>
      </w:r>
      <w:r>
        <w:rPr>
          <w:rFonts w:ascii="Arial" w:eastAsiaTheme="minorHAnsi" w:hAnsi="Arial" w:cs="Arial"/>
          <w:sz w:val="20"/>
          <w:szCs w:val="20"/>
          <w:lang w:eastAsia="en-US"/>
        </w:rPr>
        <w:t>meno di 137</w:t>
      </w:r>
      <w:r w:rsidR="003604A8" w:rsidRPr="003604A8">
        <w:rPr>
          <w:rFonts w:ascii="Arial" w:eastAsiaTheme="minorHAnsi" w:hAnsi="Arial" w:cs="Arial"/>
          <w:sz w:val="20"/>
          <w:szCs w:val="20"/>
          <w:lang w:eastAsia="en-US"/>
        </w:rPr>
        <w:t xml:space="preserve"> mi</w:t>
      </w:r>
      <w:r w:rsidR="00383340" w:rsidRPr="003604A8">
        <w:rPr>
          <w:rFonts w:ascii="Arial" w:eastAsiaTheme="minorHAnsi" w:hAnsi="Arial" w:cs="Arial"/>
          <w:sz w:val="20"/>
          <w:szCs w:val="20"/>
          <w:lang w:eastAsia="en-US"/>
        </w:rPr>
        <w:t xml:space="preserve">lioni </w:t>
      </w:r>
      <w:r w:rsidR="000B7B7B" w:rsidRPr="003604A8">
        <w:rPr>
          <w:rFonts w:ascii="Arial" w:eastAsiaTheme="minorHAnsi" w:hAnsi="Arial" w:cs="Arial"/>
          <w:sz w:val="20"/>
          <w:szCs w:val="20"/>
          <w:lang w:eastAsia="en-US"/>
        </w:rPr>
        <w:t>di euro</w:t>
      </w:r>
      <w:r w:rsidR="00EF0711" w:rsidRPr="003604A8">
        <w:rPr>
          <w:rFonts w:ascii="Arial" w:eastAsiaTheme="minorHAnsi" w:hAnsi="Arial" w:cs="Arial"/>
          <w:sz w:val="20"/>
          <w:szCs w:val="20"/>
          <w:lang w:eastAsia="en-US"/>
        </w:rPr>
        <w:t xml:space="preserve"> </w:t>
      </w:r>
      <w:r w:rsidR="00F26105" w:rsidRPr="003604A8">
        <w:rPr>
          <w:rFonts w:ascii="Arial" w:eastAsiaTheme="minorHAnsi" w:hAnsi="Arial" w:cs="Arial"/>
          <w:sz w:val="20"/>
          <w:szCs w:val="20"/>
          <w:lang w:eastAsia="en-US"/>
        </w:rPr>
        <w:t>(</w:t>
      </w:r>
      <w:r w:rsidR="003135D2">
        <w:rPr>
          <w:rFonts w:ascii="Arial" w:eastAsiaTheme="minorHAnsi" w:hAnsi="Arial" w:cs="Arial"/>
          <w:sz w:val="20"/>
          <w:szCs w:val="20"/>
          <w:lang w:eastAsia="en-US"/>
        </w:rPr>
        <w:t>252</w:t>
      </w:r>
      <w:r w:rsidR="00B56B89" w:rsidRPr="003604A8">
        <w:rPr>
          <w:rFonts w:ascii="Arial" w:eastAsiaTheme="minorHAnsi" w:hAnsi="Arial" w:cs="Arial"/>
          <w:sz w:val="20"/>
          <w:szCs w:val="20"/>
          <w:lang w:eastAsia="en-US"/>
        </w:rPr>
        <w:t xml:space="preserve"> euro pro</w:t>
      </w:r>
      <w:r w:rsidR="00EF0711" w:rsidRPr="003604A8">
        <w:rPr>
          <w:rFonts w:ascii="Arial" w:eastAsiaTheme="minorHAnsi" w:hAnsi="Arial" w:cs="Arial"/>
          <w:sz w:val="20"/>
          <w:szCs w:val="20"/>
          <w:lang w:eastAsia="en-US"/>
        </w:rPr>
        <w:t xml:space="preserve"> </w:t>
      </w:r>
      <w:r w:rsidR="00B56B89" w:rsidRPr="003604A8">
        <w:rPr>
          <w:rFonts w:ascii="Arial" w:eastAsiaTheme="minorHAnsi" w:hAnsi="Arial" w:cs="Arial"/>
          <w:sz w:val="20"/>
          <w:szCs w:val="20"/>
          <w:lang w:eastAsia="en-US"/>
        </w:rPr>
        <w:t>capite</w:t>
      </w:r>
      <w:r w:rsidR="00F26105" w:rsidRPr="003604A8">
        <w:rPr>
          <w:rFonts w:ascii="Arial" w:eastAsiaTheme="minorHAnsi" w:hAnsi="Arial" w:cs="Arial"/>
          <w:sz w:val="20"/>
          <w:szCs w:val="20"/>
          <w:lang w:eastAsia="en-US"/>
        </w:rPr>
        <w:t>)</w:t>
      </w:r>
      <w:r w:rsidR="00EF0711" w:rsidRPr="003604A8">
        <w:rPr>
          <w:rFonts w:ascii="Arial" w:eastAsiaTheme="minorHAnsi" w:hAnsi="Arial" w:cs="Arial"/>
          <w:sz w:val="20"/>
          <w:szCs w:val="20"/>
          <w:lang w:eastAsia="en-US"/>
        </w:rPr>
        <w:t xml:space="preserve"> </w:t>
      </w:r>
      <w:r w:rsidR="009976CE" w:rsidRPr="003604A8">
        <w:rPr>
          <w:rFonts w:ascii="Arial" w:eastAsiaTheme="minorHAnsi" w:hAnsi="Arial" w:cs="Arial"/>
          <w:sz w:val="20"/>
          <w:szCs w:val="20"/>
          <w:lang w:eastAsia="en-US"/>
        </w:rPr>
        <w:t xml:space="preserve">per </w:t>
      </w:r>
      <w:r w:rsidR="00347511" w:rsidRPr="003604A8">
        <w:rPr>
          <w:rFonts w:ascii="Arial" w:eastAsiaTheme="minorHAnsi" w:hAnsi="Arial" w:cs="Arial"/>
          <w:sz w:val="20"/>
          <w:szCs w:val="20"/>
          <w:lang w:eastAsia="en-US"/>
        </w:rPr>
        <w:t>la</w:t>
      </w:r>
      <w:r w:rsidR="00EC6C6A">
        <w:rPr>
          <w:rFonts w:ascii="Arial" w:eastAsiaTheme="minorHAnsi" w:hAnsi="Arial" w:cs="Arial"/>
          <w:sz w:val="20"/>
          <w:szCs w:val="20"/>
          <w:lang w:eastAsia="en-US"/>
        </w:rPr>
        <w:t xml:space="preserve"> </w:t>
      </w:r>
      <w:r w:rsidR="00A1310C">
        <w:rPr>
          <w:rFonts w:ascii="Arial" w:eastAsiaTheme="minorHAnsi" w:hAnsi="Arial" w:cs="Arial"/>
          <w:sz w:val="20"/>
          <w:szCs w:val="20"/>
          <w:lang w:eastAsia="en-US"/>
        </w:rPr>
        <w:t>Basilicata</w:t>
      </w:r>
      <w:r w:rsidR="006D2AF6" w:rsidRPr="003604A8">
        <w:rPr>
          <w:rFonts w:ascii="Arial" w:eastAsiaTheme="minorHAnsi" w:hAnsi="Arial" w:cs="Arial"/>
          <w:sz w:val="20"/>
          <w:szCs w:val="20"/>
          <w:lang w:eastAsia="en-US"/>
        </w:rPr>
        <w:t>;</w:t>
      </w:r>
      <w:r w:rsidR="00A33895" w:rsidRPr="006D5EB7">
        <w:rPr>
          <w:rFonts w:ascii="Arial" w:eastAsiaTheme="minorHAnsi" w:hAnsi="Arial" w:cs="Arial"/>
          <w:color w:val="FF0000"/>
          <w:sz w:val="20"/>
          <w:szCs w:val="20"/>
          <w:lang w:eastAsia="en-US"/>
        </w:rPr>
        <w:t xml:space="preserve"> </w:t>
      </w:r>
      <w:r w:rsidR="006D2AF6" w:rsidRPr="003E726D">
        <w:rPr>
          <w:rFonts w:ascii="Arial" w:eastAsiaTheme="minorHAnsi" w:hAnsi="Arial" w:cs="Arial"/>
          <w:sz w:val="20"/>
          <w:szCs w:val="20"/>
          <w:lang w:eastAsia="en-US"/>
        </w:rPr>
        <w:t xml:space="preserve">la regione </w:t>
      </w:r>
      <w:r w:rsidR="002B2C92" w:rsidRPr="003E726D">
        <w:rPr>
          <w:rFonts w:ascii="Arial" w:eastAsiaTheme="minorHAnsi" w:hAnsi="Arial" w:cs="Arial"/>
          <w:sz w:val="20"/>
          <w:szCs w:val="20"/>
          <w:lang w:eastAsia="en-US"/>
        </w:rPr>
        <w:t xml:space="preserve">incide per </w:t>
      </w:r>
      <w:r w:rsidR="004B483A">
        <w:rPr>
          <w:rFonts w:ascii="Arial" w:eastAsiaTheme="minorHAnsi" w:hAnsi="Arial" w:cs="Arial"/>
          <w:sz w:val="20"/>
          <w:szCs w:val="20"/>
          <w:lang w:eastAsia="en-US"/>
        </w:rPr>
        <w:t>lo 0,</w:t>
      </w:r>
      <w:r w:rsidR="003135D2">
        <w:rPr>
          <w:rFonts w:ascii="Arial" w:eastAsiaTheme="minorHAnsi" w:hAnsi="Arial" w:cs="Arial"/>
          <w:sz w:val="20"/>
          <w:szCs w:val="20"/>
          <w:lang w:eastAsia="en-US"/>
        </w:rPr>
        <w:t>8</w:t>
      </w:r>
      <w:r w:rsidR="00EF0711" w:rsidRPr="003E726D">
        <w:rPr>
          <w:rFonts w:ascii="Arial" w:eastAsiaTheme="minorHAnsi" w:hAnsi="Arial" w:cs="Arial"/>
          <w:sz w:val="20"/>
          <w:szCs w:val="20"/>
          <w:lang w:eastAsia="en-US"/>
        </w:rPr>
        <w:t>%</w:t>
      </w:r>
      <w:r w:rsidR="00A33895" w:rsidRPr="003E726D">
        <w:rPr>
          <w:rFonts w:ascii="Arial" w:eastAsiaTheme="minorHAnsi" w:hAnsi="Arial" w:cs="Arial"/>
          <w:sz w:val="20"/>
          <w:szCs w:val="20"/>
          <w:lang w:eastAsia="en-US"/>
        </w:rPr>
        <w:t xml:space="preserve"> </w:t>
      </w:r>
      <w:r w:rsidR="00D66928" w:rsidRPr="003E726D">
        <w:rPr>
          <w:rFonts w:ascii="Arial" w:eastAsiaTheme="minorHAnsi" w:hAnsi="Arial" w:cs="Arial"/>
          <w:sz w:val="20"/>
          <w:szCs w:val="20"/>
          <w:lang w:eastAsia="en-US"/>
        </w:rPr>
        <w:t xml:space="preserve">sul totale </w:t>
      </w:r>
      <w:r w:rsidR="000B7B7B" w:rsidRPr="003E726D">
        <w:rPr>
          <w:rFonts w:ascii="Arial" w:eastAsiaTheme="minorHAnsi" w:hAnsi="Arial" w:cs="Arial"/>
          <w:sz w:val="20"/>
          <w:szCs w:val="20"/>
          <w:lang w:eastAsia="en-US"/>
        </w:rPr>
        <w:t>nazionale</w:t>
      </w:r>
      <w:r w:rsidR="003F303B" w:rsidRPr="003E726D">
        <w:rPr>
          <w:rFonts w:ascii="Arial" w:eastAsiaTheme="minorHAnsi" w:hAnsi="Arial" w:cs="Arial"/>
          <w:sz w:val="20"/>
          <w:szCs w:val="20"/>
          <w:lang w:eastAsia="en-US"/>
        </w:rPr>
        <w:t xml:space="preserve"> (</w:t>
      </w:r>
      <w:r w:rsidR="005802D5" w:rsidRPr="003E726D">
        <w:rPr>
          <w:rFonts w:ascii="Arial" w:eastAsiaTheme="minorHAnsi" w:hAnsi="Arial" w:cs="Arial"/>
          <w:sz w:val="20"/>
          <w:szCs w:val="20"/>
          <w:lang w:eastAsia="en-US"/>
        </w:rPr>
        <w:t xml:space="preserve">cfr. </w:t>
      </w:r>
      <w:r w:rsidR="002A5316" w:rsidRPr="003E726D">
        <w:rPr>
          <w:rFonts w:ascii="Arial" w:eastAsiaTheme="minorHAnsi" w:hAnsi="Arial" w:cs="Arial"/>
          <w:sz w:val="20"/>
          <w:szCs w:val="20"/>
          <w:lang w:eastAsia="en-US"/>
        </w:rPr>
        <w:t xml:space="preserve">Glossario e Nota metodologica a fine testo, </w:t>
      </w:r>
      <w:r w:rsidR="00F26105" w:rsidRPr="003E726D">
        <w:rPr>
          <w:rFonts w:ascii="Arial" w:eastAsiaTheme="minorHAnsi" w:hAnsi="Arial" w:cs="Arial"/>
          <w:sz w:val="20"/>
          <w:szCs w:val="20"/>
          <w:lang w:eastAsia="en-US"/>
        </w:rPr>
        <w:t>T</w:t>
      </w:r>
      <w:r w:rsidR="003F303B" w:rsidRPr="003E726D">
        <w:rPr>
          <w:rFonts w:ascii="Arial" w:eastAsiaTheme="minorHAnsi" w:hAnsi="Arial" w:cs="Arial"/>
          <w:sz w:val="20"/>
          <w:szCs w:val="20"/>
          <w:lang w:eastAsia="en-US"/>
        </w:rPr>
        <w:t>avola</w:t>
      </w:r>
      <w:r w:rsidR="002A5316" w:rsidRPr="003E726D">
        <w:rPr>
          <w:rFonts w:ascii="Arial" w:eastAsiaTheme="minorHAnsi" w:hAnsi="Arial" w:cs="Arial"/>
          <w:sz w:val="20"/>
          <w:szCs w:val="20"/>
          <w:lang w:eastAsia="en-US"/>
        </w:rPr>
        <w:t xml:space="preserve"> </w:t>
      </w:r>
      <w:r w:rsidR="003F303B" w:rsidRPr="003E726D">
        <w:rPr>
          <w:rFonts w:ascii="Arial" w:eastAsiaTheme="minorHAnsi" w:hAnsi="Arial" w:cs="Arial"/>
          <w:sz w:val="20"/>
          <w:szCs w:val="20"/>
          <w:lang w:eastAsia="en-US"/>
        </w:rPr>
        <w:t>in allegato</w:t>
      </w:r>
      <w:r w:rsidR="002C7F02">
        <w:rPr>
          <w:rStyle w:val="Rimandonotaapidipagina"/>
          <w:rFonts w:ascii="Arial" w:eastAsiaTheme="minorHAnsi" w:hAnsi="Arial" w:cs="Arial"/>
          <w:sz w:val="20"/>
          <w:szCs w:val="20"/>
          <w:lang w:eastAsia="en-US"/>
        </w:rPr>
        <w:footnoteReference w:id="1"/>
      </w:r>
      <w:r w:rsidR="003F303B" w:rsidRPr="003E726D">
        <w:rPr>
          <w:rFonts w:ascii="Arial" w:eastAsiaTheme="minorHAnsi" w:hAnsi="Arial" w:cs="Arial"/>
          <w:sz w:val="20"/>
          <w:szCs w:val="20"/>
          <w:lang w:eastAsia="en-US"/>
        </w:rPr>
        <w:t>)</w:t>
      </w:r>
      <w:r w:rsidR="000B7B7B" w:rsidRPr="003E726D">
        <w:rPr>
          <w:rFonts w:ascii="Arial" w:eastAsiaTheme="minorHAnsi" w:hAnsi="Arial" w:cs="Arial"/>
          <w:sz w:val="20"/>
          <w:szCs w:val="20"/>
          <w:lang w:eastAsia="en-US"/>
        </w:rPr>
        <w:t>.</w:t>
      </w:r>
    </w:p>
    <w:p w14:paraId="7CF6E090" w14:textId="77777777" w:rsidR="001917AF" w:rsidRPr="006D5EB7" w:rsidRDefault="001917AF" w:rsidP="008A7F7B">
      <w:pPr>
        <w:spacing w:after="120"/>
        <w:jc w:val="both"/>
        <w:rPr>
          <w:rFonts w:ascii="Arial" w:eastAsiaTheme="minorHAnsi" w:hAnsi="Arial" w:cs="Arial"/>
          <w:color w:val="FF0000"/>
          <w:sz w:val="20"/>
          <w:szCs w:val="20"/>
          <w:lang w:eastAsia="en-US"/>
        </w:rPr>
      </w:pPr>
    </w:p>
    <w:p w14:paraId="2CE1C7E0" w14:textId="16F837AC" w:rsidR="00A919A8" w:rsidRPr="00485547" w:rsidRDefault="00DC417B" w:rsidP="007D5C04">
      <w:pPr>
        <w:keepNext/>
        <w:jc w:val="both"/>
        <w:rPr>
          <w:rFonts w:ascii="Arial Narrow" w:hAnsi="Arial Narrow" w:cs="Arial"/>
          <w:sz w:val="19"/>
          <w:szCs w:val="19"/>
        </w:rPr>
      </w:pPr>
      <w:r w:rsidRPr="00DC417B">
        <w:rPr>
          <w:rFonts w:ascii="Arial Narrow" w:hAnsi="Arial Narrow" w:cs="Calibri"/>
          <w:b/>
          <w:bCs/>
          <w:color w:val="808080"/>
          <w:sz w:val="20"/>
          <w:szCs w:val="20"/>
        </w:rPr>
        <w:t xml:space="preserve">FIGURA 1. UTENTI VULNERABILI PER ETÀ E RUOLO E UTENTI NEL COMPLESSO MORTI PER INCIDENTE STRADALE IN </w:t>
      </w:r>
      <w:r w:rsidR="00A1310C">
        <w:rPr>
          <w:rFonts w:ascii="Arial Narrow" w:hAnsi="Arial Narrow" w:cs="Calibri"/>
          <w:b/>
          <w:bCs/>
          <w:color w:val="808080"/>
          <w:sz w:val="20"/>
          <w:szCs w:val="20"/>
        </w:rPr>
        <w:t>BASILICATA</w:t>
      </w:r>
      <w:r w:rsidRPr="00DC417B">
        <w:rPr>
          <w:rFonts w:ascii="Arial Narrow" w:hAnsi="Arial Narrow" w:cs="Calibri"/>
          <w:b/>
          <w:bCs/>
          <w:color w:val="808080"/>
          <w:sz w:val="20"/>
          <w:szCs w:val="20"/>
        </w:rPr>
        <w:t xml:space="preserve"> E IN ITALIA.</w:t>
      </w:r>
      <w:r w:rsidRPr="00485547">
        <w:rPr>
          <w:rFonts w:ascii="Arial Narrow" w:hAnsi="Arial Narrow" w:cs="Arial"/>
          <w:b/>
          <w:bCs/>
          <w:iCs/>
          <w:sz w:val="20"/>
          <w:szCs w:val="20"/>
        </w:rPr>
        <w:t xml:space="preserve"> </w:t>
      </w:r>
      <w:r w:rsidR="00570E3E" w:rsidRPr="00485547">
        <w:rPr>
          <w:rFonts w:ascii="Arial Narrow" w:hAnsi="Arial Narrow" w:cs="Arial"/>
          <w:sz w:val="19"/>
          <w:szCs w:val="19"/>
        </w:rPr>
        <w:t xml:space="preserve">Anni 2010 e </w:t>
      </w:r>
      <w:r w:rsidR="00F81B14" w:rsidRPr="00485547">
        <w:rPr>
          <w:rFonts w:ascii="Arial Narrow" w:hAnsi="Arial Narrow" w:cs="Arial"/>
          <w:sz w:val="19"/>
          <w:szCs w:val="19"/>
        </w:rPr>
        <w:t>20</w:t>
      </w:r>
      <w:r w:rsidR="00357896">
        <w:rPr>
          <w:rFonts w:ascii="Arial Narrow" w:hAnsi="Arial Narrow" w:cs="Arial"/>
          <w:sz w:val="19"/>
          <w:szCs w:val="19"/>
        </w:rPr>
        <w:t>2</w:t>
      </w:r>
      <w:r w:rsidR="0058258F">
        <w:rPr>
          <w:rFonts w:ascii="Arial Narrow" w:hAnsi="Arial Narrow" w:cs="Arial"/>
          <w:sz w:val="19"/>
          <w:szCs w:val="19"/>
        </w:rPr>
        <w:t>1</w:t>
      </w:r>
      <w:r w:rsidR="00D526EA" w:rsidRPr="00485547">
        <w:rPr>
          <w:rFonts w:ascii="Arial Narrow" w:hAnsi="Arial Narrow" w:cs="Arial"/>
          <w:sz w:val="19"/>
          <w:szCs w:val="19"/>
        </w:rPr>
        <w:t>,</w:t>
      </w:r>
      <w:r w:rsidR="00570E3E" w:rsidRPr="00485547">
        <w:rPr>
          <w:rFonts w:ascii="Arial Narrow" w:hAnsi="Arial Narrow" w:cs="Arial"/>
          <w:sz w:val="19"/>
          <w:szCs w:val="19"/>
        </w:rPr>
        <w:t xml:space="preserve"> valori percentuali</w:t>
      </w:r>
    </w:p>
    <w:tbl>
      <w:tblPr>
        <w:tblStyle w:val="Grigliatabella"/>
        <w:tblW w:w="9995" w:type="dxa"/>
        <w:tblInd w:w="70" w:type="dxa"/>
        <w:tblBorders>
          <w:left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997"/>
        <w:gridCol w:w="4998"/>
      </w:tblGrid>
      <w:tr w:rsidR="000704A1" w:rsidRPr="006D5EB7" w14:paraId="56F5FC7D" w14:textId="77777777" w:rsidTr="001917AF">
        <w:trPr>
          <w:trHeight w:val="3077"/>
        </w:trPr>
        <w:tc>
          <w:tcPr>
            <w:tcW w:w="4997" w:type="dxa"/>
          </w:tcPr>
          <w:p w14:paraId="094DD647" w14:textId="0F62BBF5" w:rsidR="00523B8C" w:rsidRPr="006D5EB7" w:rsidRDefault="001769D4" w:rsidP="00435309">
            <w:pPr>
              <w:pStyle w:val="Ann03Titoloparagrafo"/>
              <w:keepNext/>
              <w:suppressAutoHyphens/>
              <w:spacing w:before="0" w:after="120"/>
              <w:rPr>
                <w:rFonts w:ascii="Arial" w:hAnsi="Arial" w:cs="Arial"/>
                <w:color w:val="FF0000"/>
                <w:sz w:val="20"/>
                <w:szCs w:val="12"/>
                <w:highlight w:val="yellow"/>
              </w:rPr>
            </w:pPr>
            <w:r>
              <w:rPr>
                <w:noProof/>
              </w:rPr>
              <w:drawing>
                <wp:inline distT="0" distB="0" distL="0" distR="0" wp14:anchorId="59D16252" wp14:editId="65A47385">
                  <wp:extent cx="3095625" cy="1876425"/>
                  <wp:effectExtent l="0" t="0" r="0" b="0"/>
                  <wp:docPr id="1" name="Grafico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0704A1" w:rsidRPr="006D5EB7">
              <w:rPr>
                <w:noProof/>
                <w:color w:val="FF0000"/>
              </w:rPr>
              <w:t xml:space="preserve"> </w:t>
            </w:r>
          </w:p>
        </w:tc>
        <w:tc>
          <w:tcPr>
            <w:tcW w:w="4998" w:type="dxa"/>
          </w:tcPr>
          <w:p w14:paraId="0A220A68" w14:textId="0353DFA5" w:rsidR="00523B8C" w:rsidRPr="006D5EB7" w:rsidRDefault="001769D4" w:rsidP="00435309">
            <w:pPr>
              <w:pStyle w:val="Ann03Titoloparagrafo"/>
              <w:keepNext/>
              <w:suppressAutoHyphens/>
              <w:spacing w:before="0" w:after="120"/>
              <w:rPr>
                <w:rFonts w:ascii="Arial" w:hAnsi="Arial" w:cs="Arial"/>
                <w:color w:val="FF0000"/>
                <w:sz w:val="20"/>
                <w:szCs w:val="12"/>
                <w:highlight w:val="yellow"/>
              </w:rPr>
            </w:pPr>
            <w:r>
              <w:rPr>
                <w:noProof/>
              </w:rPr>
              <w:drawing>
                <wp:inline distT="0" distB="0" distL="0" distR="0" wp14:anchorId="43B78014" wp14:editId="3552D572">
                  <wp:extent cx="3048000" cy="1885950"/>
                  <wp:effectExtent l="0" t="0" r="0" b="0"/>
                  <wp:docPr id="12" name="Grafico 12">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bl>
    <w:p w14:paraId="4BCA6AE5" w14:textId="77777777" w:rsidR="00BA6339" w:rsidRPr="00BA6339" w:rsidRDefault="00BA6339" w:rsidP="000D0375">
      <w:pPr>
        <w:spacing w:before="240"/>
        <w:jc w:val="both"/>
        <w:rPr>
          <w:rFonts w:ascii="Arial" w:eastAsiaTheme="minorHAnsi" w:hAnsi="Arial" w:cs="Arial"/>
          <w:b/>
          <w:sz w:val="22"/>
          <w:szCs w:val="22"/>
          <w:lang w:eastAsia="en-US"/>
        </w:rPr>
      </w:pPr>
    </w:p>
    <w:p w14:paraId="6DA035CD" w14:textId="72291B7E" w:rsidR="00D61FA4" w:rsidRPr="00011A95" w:rsidRDefault="001769D4" w:rsidP="00B71E26">
      <w:pPr>
        <w:pStyle w:val="Ann03Titoloparagrafo"/>
        <w:suppressAutoHyphens/>
        <w:spacing w:before="0" w:after="120"/>
        <w:rPr>
          <w:rFonts w:ascii="Arial" w:eastAsiaTheme="minorHAnsi" w:hAnsi="Arial" w:cs="Arial"/>
          <w:lang w:eastAsia="en-US"/>
        </w:rPr>
      </w:pPr>
      <w:r>
        <w:rPr>
          <w:rFonts w:ascii="Arial" w:hAnsi="Arial" w:cs="Arial"/>
        </w:rPr>
        <w:t>I</w:t>
      </w:r>
      <w:r w:rsidR="00465515" w:rsidRPr="00011A95">
        <w:rPr>
          <w:rFonts w:ascii="Arial" w:hAnsi="Arial" w:cs="Arial"/>
        </w:rPr>
        <w:t xml:space="preserve">l </w:t>
      </w:r>
      <w:r w:rsidR="00F039FC" w:rsidRPr="00011A95">
        <w:rPr>
          <w:rFonts w:ascii="Arial" w:hAnsi="Arial" w:cs="Arial"/>
        </w:rPr>
        <w:t>rischio di incidente stradale</w:t>
      </w:r>
    </w:p>
    <w:p w14:paraId="69DB1245" w14:textId="4ADC01B4" w:rsidR="008A7F7B" w:rsidRDefault="00D43C4C" w:rsidP="00B71E26">
      <w:pPr>
        <w:spacing w:after="120"/>
        <w:jc w:val="both"/>
        <w:rPr>
          <w:rFonts w:ascii="Arial" w:eastAsiaTheme="minorHAnsi" w:hAnsi="Arial" w:cs="Arial"/>
          <w:sz w:val="20"/>
          <w:szCs w:val="20"/>
          <w:lang w:eastAsia="en-US"/>
        </w:rPr>
      </w:pPr>
      <w:r w:rsidRPr="005F3FAE">
        <w:rPr>
          <w:rFonts w:ascii="Arial" w:eastAsiaTheme="minorHAnsi" w:hAnsi="Arial" w:cs="Arial"/>
          <w:sz w:val="20"/>
          <w:szCs w:val="20"/>
          <w:lang w:eastAsia="en-US"/>
        </w:rPr>
        <w:t xml:space="preserve">Tra il </w:t>
      </w:r>
      <w:r w:rsidR="00F81B14" w:rsidRPr="005F3FAE">
        <w:rPr>
          <w:rFonts w:ascii="Arial" w:eastAsiaTheme="minorHAnsi" w:hAnsi="Arial" w:cs="Arial"/>
          <w:sz w:val="20"/>
          <w:szCs w:val="20"/>
          <w:lang w:eastAsia="en-US"/>
        </w:rPr>
        <w:t>20</w:t>
      </w:r>
      <w:r w:rsidR="003135D2">
        <w:rPr>
          <w:rFonts w:ascii="Arial" w:eastAsiaTheme="minorHAnsi" w:hAnsi="Arial" w:cs="Arial"/>
          <w:sz w:val="20"/>
          <w:szCs w:val="20"/>
          <w:lang w:eastAsia="en-US"/>
        </w:rPr>
        <w:t>20</w:t>
      </w:r>
      <w:r w:rsidR="00F81B14" w:rsidRPr="005F3FAE">
        <w:rPr>
          <w:rFonts w:ascii="Arial" w:eastAsiaTheme="minorHAnsi" w:hAnsi="Arial" w:cs="Arial"/>
          <w:sz w:val="20"/>
          <w:szCs w:val="20"/>
          <w:lang w:eastAsia="en-US"/>
        </w:rPr>
        <w:t xml:space="preserve"> </w:t>
      </w:r>
      <w:r w:rsidRPr="005F3FAE">
        <w:rPr>
          <w:rFonts w:ascii="Arial" w:eastAsiaTheme="minorHAnsi" w:hAnsi="Arial" w:cs="Arial"/>
          <w:sz w:val="20"/>
          <w:szCs w:val="20"/>
          <w:lang w:eastAsia="en-US"/>
        </w:rPr>
        <w:t xml:space="preserve">e il </w:t>
      </w:r>
      <w:r w:rsidR="00F81B14" w:rsidRPr="005F3FAE">
        <w:rPr>
          <w:rFonts w:ascii="Arial" w:eastAsiaTheme="minorHAnsi" w:hAnsi="Arial" w:cs="Arial"/>
          <w:sz w:val="20"/>
          <w:szCs w:val="20"/>
          <w:lang w:eastAsia="en-US"/>
        </w:rPr>
        <w:t>20</w:t>
      </w:r>
      <w:r w:rsidR="00011A95" w:rsidRPr="005F3FAE">
        <w:rPr>
          <w:rFonts w:ascii="Arial" w:eastAsiaTheme="minorHAnsi" w:hAnsi="Arial" w:cs="Arial"/>
          <w:sz w:val="20"/>
          <w:szCs w:val="20"/>
          <w:lang w:eastAsia="en-US"/>
        </w:rPr>
        <w:t>2</w:t>
      </w:r>
      <w:r w:rsidR="003135D2">
        <w:rPr>
          <w:rFonts w:ascii="Arial" w:eastAsiaTheme="minorHAnsi" w:hAnsi="Arial" w:cs="Arial"/>
          <w:sz w:val="20"/>
          <w:szCs w:val="20"/>
          <w:lang w:eastAsia="en-US"/>
        </w:rPr>
        <w:t>1</w:t>
      </w:r>
      <w:r w:rsidR="00F81B14" w:rsidRPr="005F3FAE">
        <w:rPr>
          <w:rFonts w:ascii="Arial" w:eastAsiaTheme="minorHAnsi" w:hAnsi="Arial" w:cs="Arial"/>
          <w:sz w:val="20"/>
          <w:szCs w:val="20"/>
          <w:lang w:eastAsia="en-US"/>
        </w:rPr>
        <w:t xml:space="preserve"> </w:t>
      </w:r>
      <w:r w:rsidRPr="005F3FAE">
        <w:rPr>
          <w:rFonts w:ascii="Arial" w:eastAsiaTheme="minorHAnsi" w:hAnsi="Arial" w:cs="Arial"/>
          <w:sz w:val="20"/>
          <w:szCs w:val="20"/>
          <w:lang w:eastAsia="en-US"/>
        </w:rPr>
        <w:t xml:space="preserve">l’indice di lesività </w:t>
      </w:r>
      <w:r w:rsidR="00C70FEF" w:rsidRPr="005F3FAE">
        <w:rPr>
          <w:rFonts w:ascii="Arial" w:eastAsiaTheme="minorHAnsi" w:hAnsi="Arial" w:cs="Arial"/>
          <w:sz w:val="20"/>
          <w:szCs w:val="20"/>
          <w:lang w:eastAsia="en-US"/>
        </w:rPr>
        <w:t>diminuisce</w:t>
      </w:r>
      <w:r w:rsidR="00AF671D" w:rsidRPr="005F3FAE">
        <w:rPr>
          <w:rFonts w:ascii="Arial" w:eastAsiaTheme="minorHAnsi" w:hAnsi="Arial" w:cs="Arial"/>
          <w:sz w:val="20"/>
          <w:szCs w:val="20"/>
          <w:lang w:eastAsia="en-US"/>
        </w:rPr>
        <w:t xml:space="preserve"> da </w:t>
      </w:r>
      <w:r w:rsidR="003135D2">
        <w:rPr>
          <w:rFonts w:ascii="Arial" w:eastAsiaTheme="minorHAnsi" w:hAnsi="Arial" w:cs="Arial"/>
          <w:sz w:val="20"/>
          <w:szCs w:val="20"/>
          <w:lang w:eastAsia="en-US"/>
        </w:rPr>
        <w:t>156</w:t>
      </w:r>
      <w:r w:rsidR="00D40949">
        <w:rPr>
          <w:rFonts w:ascii="Arial" w:eastAsiaTheme="minorHAnsi" w:hAnsi="Arial" w:cs="Arial"/>
          <w:sz w:val="20"/>
          <w:szCs w:val="20"/>
          <w:lang w:eastAsia="en-US"/>
        </w:rPr>
        <w:t xml:space="preserve"> </w:t>
      </w:r>
      <w:r w:rsidR="005137E9">
        <w:rPr>
          <w:rFonts w:ascii="Arial" w:eastAsiaTheme="minorHAnsi" w:hAnsi="Arial" w:cs="Arial"/>
          <w:sz w:val="20"/>
          <w:szCs w:val="20"/>
          <w:lang w:eastAsia="en-US"/>
        </w:rPr>
        <w:t>feriti ogni 100 incidenti</w:t>
      </w:r>
      <w:r w:rsidR="00A503BD" w:rsidRPr="005F3FAE">
        <w:rPr>
          <w:rFonts w:ascii="Arial" w:eastAsiaTheme="minorHAnsi" w:hAnsi="Arial" w:cs="Arial"/>
          <w:sz w:val="20"/>
          <w:szCs w:val="20"/>
          <w:lang w:eastAsia="en-US"/>
        </w:rPr>
        <w:t xml:space="preserve"> a </w:t>
      </w:r>
      <w:r w:rsidR="003135D2">
        <w:rPr>
          <w:rFonts w:ascii="Arial" w:eastAsiaTheme="minorHAnsi" w:hAnsi="Arial" w:cs="Arial"/>
          <w:sz w:val="20"/>
          <w:szCs w:val="20"/>
          <w:lang w:eastAsia="en-US"/>
        </w:rPr>
        <w:t xml:space="preserve">145,2 mentre </w:t>
      </w:r>
      <w:r w:rsidR="000911BA">
        <w:rPr>
          <w:rFonts w:ascii="Arial" w:eastAsiaTheme="minorHAnsi" w:hAnsi="Arial" w:cs="Arial"/>
          <w:sz w:val="20"/>
          <w:szCs w:val="20"/>
          <w:lang w:eastAsia="en-US"/>
        </w:rPr>
        <w:t>aumentano quello</w:t>
      </w:r>
      <w:r w:rsidR="003135D2">
        <w:rPr>
          <w:rFonts w:ascii="Arial" w:eastAsiaTheme="minorHAnsi" w:hAnsi="Arial" w:cs="Arial"/>
          <w:sz w:val="20"/>
          <w:szCs w:val="20"/>
          <w:lang w:eastAsia="en-US"/>
        </w:rPr>
        <w:t xml:space="preserve"> di </w:t>
      </w:r>
      <w:r w:rsidR="00B16F0E">
        <w:rPr>
          <w:rFonts w:ascii="Arial" w:eastAsiaTheme="minorHAnsi" w:hAnsi="Arial" w:cs="Arial"/>
          <w:sz w:val="20"/>
          <w:szCs w:val="20"/>
          <w:lang w:eastAsia="en-US"/>
        </w:rPr>
        <w:t xml:space="preserve">mortalità </w:t>
      </w:r>
      <w:r w:rsidR="005C718B">
        <w:rPr>
          <w:rFonts w:ascii="Arial" w:eastAsiaTheme="minorHAnsi" w:hAnsi="Arial" w:cs="Arial"/>
          <w:sz w:val="20"/>
          <w:szCs w:val="20"/>
          <w:lang w:eastAsia="en-US"/>
        </w:rPr>
        <w:t>(</w:t>
      </w:r>
      <w:r w:rsidR="00444A12" w:rsidRPr="005F3FAE">
        <w:rPr>
          <w:rFonts w:ascii="Arial" w:eastAsiaTheme="minorHAnsi" w:hAnsi="Arial" w:cs="Arial"/>
          <w:sz w:val="20"/>
          <w:szCs w:val="20"/>
          <w:lang w:eastAsia="en-US"/>
        </w:rPr>
        <w:t>2,</w:t>
      </w:r>
      <w:r w:rsidR="00B16F0E">
        <w:rPr>
          <w:rFonts w:ascii="Arial" w:eastAsiaTheme="minorHAnsi" w:hAnsi="Arial" w:cs="Arial"/>
          <w:sz w:val="20"/>
          <w:szCs w:val="20"/>
          <w:lang w:eastAsia="en-US"/>
        </w:rPr>
        <w:t>7</w:t>
      </w:r>
      <w:r w:rsidR="00633144" w:rsidRPr="005F3FAE">
        <w:rPr>
          <w:rFonts w:ascii="Arial" w:eastAsiaTheme="minorHAnsi" w:hAnsi="Arial" w:cs="Arial"/>
          <w:sz w:val="20"/>
          <w:szCs w:val="20"/>
          <w:lang w:eastAsia="en-US"/>
        </w:rPr>
        <w:t xml:space="preserve"> </w:t>
      </w:r>
      <w:r w:rsidR="002139F3" w:rsidRPr="005F3FAE">
        <w:rPr>
          <w:rFonts w:ascii="Arial" w:eastAsiaTheme="minorHAnsi" w:hAnsi="Arial" w:cs="Arial"/>
          <w:sz w:val="20"/>
          <w:szCs w:val="20"/>
          <w:lang w:eastAsia="en-US"/>
        </w:rPr>
        <w:t>decessi ogni 100 incidenti</w:t>
      </w:r>
      <w:r w:rsidR="00F26105" w:rsidRPr="005F3FAE">
        <w:rPr>
          <w:rFonts w:ascii="Arial" w:eastAsiaTheme="minorHAnsi" w:hAnsi="Arial" w:cs="Arial"/>
          <w:sz w:val="20"/>
          <w:szCs w:val="20"/>
          <w:lang w:eastAsia="en-US"/>
        </w:rPr>
        <w:t xml:space="preserve"> </w:t>
      </w:r>
      <w:r w:rsidR="00D61CC0">
        <w:rPr>
          <w:rFonts w:ascii="Arial" w:eastAsiaTheme="minorHAnsi" w:hAnsi="Arial" w:cs="Arial"/>
          <w:sz w:val="20"/>
          <w:szCs w:val="20"/>
          <w:lang w:eastAsia="en-US"/>
        </w:rPr>
        <w:t>nel 2020</w:t>
      </w:r>
      <w:r w:rsidR="00C010EE">
        <w:rPr>
          <w:rFonts w:ascii="Arial" w:eastAsiaTheme="minorHAnsi" w:hAnsi="Arial" w:cs="Arial"/>
          <w:sz w:val="20"/>
          <w:szCs w:val="20"/>
          <w:lang w:eastAsia="en-US"/>
        </w:rPr>
        <w:t xml:space="preserve">; </w:t>
      </w:r>
      <w:r w:rsidR="00D61CC0">
        <w:rPr>
          <w:rFonts w:ascii="Arial" w:eastAsiaTheme="minorHAnsi" w:hAnsi="Arial" w:cs="Arial"/>
          <w:sz w:val="20"/>
          <w:szCs w:val="20"/>
          <w:lang w:eastAsia="en-US"/>
        </w:rPr>
        <w:t>3,</w:t>
      </w:r>
      <w:r w:rsidR="003135D2">
        <w:rPr>
          <w:rFonts w:ascii="Arial" w:eastAsiaTheme="minorHAnsi" w:hAnsi="Arial" w:cs="Arial"/>
          <w:sz w:val="20"/>
          <w:szCs w:val="20"/>
          <w:lang w:eastAsia="en-US"/>
        </w:rPr>
        <w:t>9</w:t>
      </w:r>
      <w:r w:rsidR="005F3FAE" w:rsidRPr="005F3FAE">
        <w:rPr>
          <w:rFonts w:ascii="Arial" w:eastAsiaTheme="minorHAnsi" w:hAnsi="Arial" w:cs="Arial"/>
          <w:sz w:val="20"/>
          <w:szCs w:val="20"/>
          <w:lang w:eastAsia="en-US"/>
        </w:rPr>
        <w:t xml:space="preserve"> nel 20</w:t>
      </w:r>
      <w:r w:rsidR="003135D2">
        <w:rPr>
          <w:rFonts w:ascii="Arial" w:eastAsiaTheme="minorHAnsi" w:hAnsi="Arial" w:cs="Arial"/>
          <w:sz w:val="20"/>
          <w:szCs w:val="20"/>
          <w:lang w:eastAsia="en-US"/>
        </w:rPr>
        <w:t>21</w:t>
      </w:r>
      <w:r w:rsidR="005F3FAE" w:rsidRPr="005F3FAE">
        <w:rPr>
          <w:rFonts w:ascii="Arial" w:eastAsiaTheme="minorHAnsi" w:hAnsi="Arial" w:cs="Arial"/>
          <w:sz w:val="20"/>
          <w:szCs w:val="20"/>
          <w:lang w:eastAsia="en-US"/>
        </w:rPr>
        <w:t xml:space="preserve">) </w:t>
      </w:r>
      <w:r w:rsidR="00D61CC0">
        <w:rPr>
          <w:rFonts w:ascii="Arial" w:eastAsiaTheme="minorHAnsi" w:hAnsi="Arial" w:cs="Arial"/>
          <w:sz w:val="20"/>
          <w:szCs w:val="20"/>
          <w:lang w:eastAsia="en-US"/>
        </w:rPr>
        <w:t xml:space="preserve">e di </w:t>
      </w:r>
      <w:r w:rsidR="000911BA">
        <w:rPr>
          <w:rFonts w:ascii="Arial" w:eastAsiaTheme="minorHAnsi" w:hAnsi="Arial" w:cs="Arial"/>
          <w:sz w:val="20"/>
          <w:szCs w:val="20"/>
          <w:lang w:eastAsia="en-US"/>
        </w:rPr>
        <w:t>gravità (</w:t>
      </w:r>
      <w:r w:rsidR="005137E9">
        <w:rPr>
          <w:rFonts w:ascii="Arial" w:eastAsiaTheme="minorHAnsi" w:hAnsi="Arial" w:cs="Arial"/>
          <w:sz w:val="20"/>
          <w:szCs w:val="20"/>
          <w:lang w:eastAsia="en-US"/>
        </w:rPr>
        <w:t xml:space="preserve">misurato dal </w:t>
      </w:r>
      <w:r w:rsidR="002139F3" w:rsidRPr="005F3FAE">
        <w:rPr>
          <w:rFonts w:ascii="Arial" w:eastAsiaTheme="minorHAnsi" w:hAnsi="Arial" w:cs="Arial"/>
          <w:sz w:val="20"/>
          <w:szCs w:val="20"/>
          <w:lang w:eastAsia="en-US"/>
        </w:rPr>
        <w:t>rapporto</w:t>
      </w:r>
      <w:r w:rsidR="00D61CC0">
        <w:rPr>
          <w:rFonts w:ascii="Arial" w:eastAsiaTheme="minorHAnsi" w:hAnsi="Arial" w:cs="Arial"/>
          <w:sz w:val="20"/>
          <w:szCs w:val="20"/>
          <w:lang w:eastAsia="en-US"/>
        </w:rPr>
        <w:t xml:space="preserve"> </w:t>
      </w:r>
      <w:r w:rsidR="002139F3" w:rsidRPr="005F3FAE">
        <w:rPr>
          <w:rFonts w:ascii="Arial" w:eastAsiaTheme="minorHAnsi" w:hAnsi="Arial" w:cs="Arial"/>
          <w:sz w:val="20"/>
          <w:szCs w:val="20"/>
          <w:lang w:eastAsia="en-US"/>
        </w:rPr>
        <w:t>tra il numero dei decessi e la somma di decessi</w:t>
      </w:r>
      <w:r w:rsidR="005979F9">
        <w:rPr>
          <w:rFonts w:ascii="Arial" w:eastAsiaTheme="minorHAnsi" w:hAnsi="Arial" w:cs="Arial"/>
          <w:sz w:val="20"/>
          <w:szCs w:val="20"/>
          <w:lang w:eastAsia="en-US"/>
        </w:rPr>
        <w:t xml:space="preserve"> e feriti</w:t>
      </w:r>
      <w:r w:rsidR="005137E9">
        <w:rPr>
          <w:rFonts w:ascii="Arial" w:eastAsiaTheme="minorHAnsi" w:hAnsi="Arial" w:cs="Arial"/>
          <w:sz w:val="20"/>
          <w:szCs w:val="20"/>
          <w:lang w:eastAsia="en-US"/>
        </w:rPr>
        <w:t xml:space="preserve"> moltiplicato 100</w:t>
      </w:r>
      <w:r w:rsidR="005979F9">
        <w:rPr>
          <w:rFonts w:ascii="Arial" w:eastAsiaTheme="minorHAnsi" w:hAnsi="Arial" w:cs="Arial"/>
          <w:sz w:val="20"/>
          <w:szCs w:val="20"/>
          <w:lang w:eastAsia="en-US"/>
        </w:rPr>
        <w:t>)</w:t>
      </w:r>
      <w:r w:rsidR="005137E9">
        <w:rPr>
          <w:rFonts w:ascii="Arial" w:eastAsiaTheme="minorHAnsi" w:hAnsi="Arial" w:cs="Arial"/>
          <w:sz w:val="20"/>
          <w:szCs w:val="20"/>
          <w:lang w:eastAsia="en-US"/>
        </w:rPr>
        <w:t xml:space="preserve"> che</w:t>
      </w:r>
      <w:r w:rsidR="002139F3" w:rsidRPr="005F3FAE">
        <w:rPr>
          <w:rFonts w:ascii="Arial" w:eastAsiaTheme="minorHAnsi" w:hAnsi="Arial" w:cs="Arial"/>
          <w:sz w:val="20"/>
          <w:szCs w:val="20"/>
          <w:lang w:eastAsia="en-US"/>
        </w:rPr>
        <w:t xml:space="preserve"> </w:t>
      </w:r>
      <w:r w:rsidR="003135D2">
        <w:rPr>
          <w:rFonts w:ascii="Arial" w:eastAsiaTheme="minorHAnsi" w:hAnsi="Arial" w:cs="Arial"/>
          <w:sz w:val="20"/>
          <w:szCs w:val="20"/>
          <w:lang w:eastAsia="en-US"/>
        </w:rPr>
        <w:t>sale</w:t>
      </w:r>
      <w:r w:rsidR="00D61CC0">
        <w:rPr>
          <w:rFonts w:ascii="Arial" w:eastAsiaTheme="minorHAnsi" w:hAnsi="Arial" w:cs="Arial"/>
          <w:sz w:val="20"/>
          <w:szCs w:val="20"/>
          <w:lang w:eastAsia="en-US"/>
        </w:rPr>
        <w:t xml:space="preserve"> da </w:t>
      </w:r>
      <w:r w:rsidR="005C718B" w:rsidRPr="005F3FAE">
        <w:rPr>
          <w:rFonts w:ascii="Arial" w:eastAsiaTheme="minorHAnsi" w:hAnsi="Arial" w:cs="Arial"/>
          <w:sz w:val="20"/>
          <w:szCs w:val="20"/>
          <w:lang w:eastAsia="en-US"/>
        </w:rPr>
        <w:t>1,</w:t>
      </w:r>
      <w:r w:rsidR="00D61CC0">
        <w:rPr>
          <w:rFonts w:ascii="Arial" w:eastAsiaTheme="minorHAnsi" w:hAnsi="Arial" w:cs="Arial"/>
          <w:sz w:val="20"/>
          <w:szCs w:val="20"/>
          <w:lang w:eastAsia="en-US"/>
        </w:rPr>
        <w:t>7</w:t>
      </w:r>
      <w:r w:rsidR="003135D2">
        <w:rPr>
          <w:rFonts w:ascii="Arial" w:eastAsiaTheme="minorHAnsi" w:hAnsi="Arial" w:cs="Arial"/>
          <w:sz w:val="20"/>
          <w:szCs w:val="20"/>
          <w:lang w:eastAsia="en-US"/>
        </w:rPr>
        <w:t xml:space="preserve"> a 2,6</w:t>
      </w:r>
      <w:r w:rsidR="000F44BE" w:rsidRPr="00E47744">
        <w:rPr>
          <w:rFonts w:ascii="Arial" w:eastAsiaTheme="minorHAnsi" w:hAnsi="Arial" w:cs="Arial"/>
          <w:sz w:val="20"/>
          <w:szCs w:val="20"/>
          <w:lang w:eastAsia="en-US"/>
        </w:rPr>
        <w:t>.</w:t>
      </w:r>
    </w:p>
    <w:p w14:paraId="161314FC" w14:textId="5350A501" w:rsidR="008A7F7B" w:rsidRPr="006243F4" w:rsidRDefault="008F0A02" w:rsidP="00B71E26">
      <w:pPr>
        <w:spacing w:after="120"/>
        <w:jc w:val="both"/>
        <w:rPr>
          <w:rFonts w:ascii="Arial" w:eastAsiaTheme="minorHAnsi" w:hAnsi="Arial" w:cs="Arial"/>
          <w:bCs/>
          <w:sz w:val="20"/>
          <w:szCs w:val="20"/>
          <w:lang w:eastAsia="en-US"/>
        </w:rPr>
      </w:pPr>
      <w:r>
        <w:rPr>
          <w:rFonts w:ascii="Arial" w:eastAsiaTheme="minorHAnsi" w:hAnsi="Arial" w:cs="Arial"/>
          <w:bCs/>
          <w:sz w:val="20"/>
          <w:szCs w:val="20"/>
          <w:lang w:eastAsia="en-US"/>
        </w:rPr>
        <w:t>L’indice d</w:t>
      </w:r>
      <w:r w:rsidR="00B34395">
        <w:rPr>
          <w:rFonts w:ascii="Arial" w:eastAsiaTheme="minorHAnsi" w:hAnsi="Arial" w:cs="Arial"/>
          <w:bCs/>
          <w:sz w:val="20"/>
          <w:szCs w:val="20"/>
          <w:lang w:eastAsia="en-US"/>
        </w:rPr>
        <w:t xml:space="preserve">i </w:t>
      </w:r>
      <w:r w:rsidR="00B34395" w:rsidRPr="00485547">
        <w:rPr>
          <w:rFonts w:ascii="Arial" w:eastAsiaTheme="minorHAnsi" w:hAnsi="Arial" w:cs="Arial"/>
          <w:bCs/>
          <w:sz w:val="20"/>
          <w:szCs w:val="20"/>
          <w:lang w:eastAsia="en-US"/>
        </w:rPr>
        <w:t xml:space="preserve">mortalità </w:t>
      </w:r>
      <w:r w:rsidR="00B34395">
        <w:rPr>
          <w:rFonts w:ascii="Arial" w:eastAsiaTheme="minorHAnsi" w:hAnsi="Arial" w:cs="Arial"/>
          <w:bCs/>
          <w:sz w:val="20"/>
          <w:szCs w:val="20"/>
          <w:lang w:eastAsia="en-US"/>
        </w:rPr>
        <w:t xml:space="preserve">registra un aumento rispetto al 2020 in entrambe le province, in particolare in </w:t>
      </w:r>
      <w:r w:rsidR="00C85CEF">
        <w:rPr>
          <w:rFonts w:ascii="Arial" w:eastAsiaTheme="minorHAnsi" w:hAnsi="Arial" w:cs="Arial"/>
          <w:bCs/>
          <w:sz w:val="20"/>
          <w:szCs w:val="20"/>
          <w:lang w:eastAsia="en-US"/>
        </w:rPr>
        <w:t>provincia</w:t>
      </w:r>
      <w:r w:rsidR="00B34395">
        <w:rPr>
          <w:rFonts w:ascii="Arial" w:eastAsiaTheme="minorHAnsi" w:hAnsi="Arial" w:cs="Arial"/>
          <w:bCs/>
          <w:sz w:val="20"/>
          <w:szCs w:val="20"/>
          <w:lang w:eastAsia="en-US"/>
        </w:rPr>
        <w:t xml:space="preserve"> di Matera</w:t>
      </w:r>
      <w:r w:rsidR="005C17C4">
        <w:rPr>
          <w:rFonts w:ascii="Arial" w:eastAsiaTheme="minorHAnsi" w:hAnsi="Arial" w:cs="Arial"/>
          <w:bCs/>
          <w:sz w:val="20"/>
          <w:szCs w:val="20"/>
          <w:lang w:eastAsia="en-US"/>
        </w:rPr>
        <w:t xml:space="preserve">, </w:t>
      </w:r>
      <w:r w:rsidR="00B34395">
        <w:rPr>
          <w:rFonts w:ascii="Arial" w:eastAsiaTheme="minorHAnsi" w:hAnsi="Arial" w:cs="Arial"/>
          <w:bCs/>
          <w:sz w:val="20"/>
          <w:szCs w:val="20"/>
          <w:lang w:eastAsia="en-US"/>
        </w:rPr>
        <w:t>dove il numero di decessi sale da 2</w:t>
      </w:r>
      <w:r w:rsidR="005C17C4">
        <w:rPr>
          <w:rFonts w:ascii="Arial" w:eastAsiaTheme="minorHAnsi" w:hAnsi="Arial" w:cs="Arial"/>
          <w:bCs/>
          <w:sz w:val="20"/>
          <w:szCs w:val="20"/>
          <w:lang w:eastAsia="en-US"/>
        </w:rPr>
        <w:t>,</w:t>
      </w:r>
      <w:r w:rsidR="00B34395">
        <w:rPr>
          <w:rFonts w:ascii="Arial" w:eastAsiaTheme="minorHAnsi" w:hAnsi="Arial" w:cs="Arial"/>
          <w:bCs/>
          <w:sz w:val="20"/>
          <w:szCs w:val="20"/>
          <w:lang w:eastAsia="en-US"/>
        </w:rPr>
        <w:t>3 a 3,9</w:t>
      </w:r>
      <w:r w:rsidR="00C85CEF" w:rsidRPr="00C85CEF">
        <w:rPr>
          <w:rFonts w:ascii="Arial" w:eastAsiaTheme="minorHAnsi" w:hAnsi="Arial" w:cs="Arial"/>
          <w:bCs/>
          <w:sz w:val="20"/>
          <w:szCs w:val="20"/>
          <w:lang w:eastAsia="en-US"/>
        </w:rPr>
        <w:t xml:space="preserve"> </w:t>
      </w:r>
      <w:r w:rsidR="00C85CEF">
        <w:rPr>
          <w:rFonts w:ascii="Arial" w:eastAsiaTheme="minorHAnsi" w:hAnsi="Arial" w:cs="Arial"/>
          <w:bCs/>
          <w:sz w:val="20"/>
          <w:szCs w:val="20"/>
          <w:lang w:eastAsia="en-US"/>
        </w:rPr>
        <w:t xml:space="preserve">ogni 100 incidenti, e nell’area </w:t>
      </w:r>
      <w:r w:rsidR="001E3E39">
        <w:rPr>
          <w:rFonts w:ascii="Arial" w:eastAsiaTheme="minorHAnsi" w:hAnsi="Arial" w:cs="Arial"/>
          <w:bCs/>
          <w:sz w:val="20"/>
          <w:szCs w:val="20"/>
          <w:lang w:eastAsia="en-US"/>
        </w:rPr>
        <w:t>a nord-ovest della</w:t>
      </w:r>
      <w:r w:rsidR="00C85CEF">
        <w:rPr>
          <w:rFonts w:ascii="Arial" w:eastAsiaTheme="minorHAnsi" w:hAnsi="Arial" w:cs="Arial"/>
          <w:bCs/>
          <w:sz w:val="20"/>
          <w:szCs w:val="20"/>
          <w:lang w:eastAsia="en-US"/>
        </w:rPr>
        <w:t xml:space="preserve"> provincia di Potenza</w:t>
      </w:r>
      <w:r w:rsidR="005701C0">
        <w:rPr>
          <w:rFonts w:ascii="Arial" w:eastAsiaTheme="minorHAnsi" w:hAnsi="Arial" w:cs="Arial"/>
          <w:bCs/>
          <w:sz w:val="20"/>
          <w:szCs w:val="20"/>
          <w:lang w:eastAsia="en-US"/>
        </w:rPr>
        <w:t xml:space="preserve"> (Figura 3).</w:t>
      </w:r>
    </w:p>
    <w:p w14:paraId="24295079" w14:textId="1A8D2BCC" w:rsidR="00963851" w:rsidRDefault="00666838" w:rsidP="00B71E26">
      <w:pPr>
        <w:spacing w:after="120"/>
        <w:jc w:val="both"/>
        <w:rPr>
          <w:rFonts w:ascii="Arial" w:eastAsiaTheme="minorHAnsi" w:hAnsi="Arial" w:cs="Arial"/>
          <w:bCs/>
          <w:sz w:val="20"/>
          <w:szCs w:val="20"/>
          <w:lang w:eastAsia="en-US"/>
        </w:rPr>
      </w:pPr>
      <w:r w:rsidRPr="006243F4">
        <w:rPr>
          <w:rFonts w:ascii="Arial" w:eastAsiaTheme="minorHAnsi" w:hAnsi="Arial" w:cs="Arial"/>
          <w:bCs/>
          <w:sz w:val="20"/>
          <w:szCs w:val="20"/>
          <w:lang w:eastAsia="en-US"/>
        </w:rPr>
        <w:t>G</w:t>
      </w:r>
      <w:r w:rsidR="005B37AE" w:rsidRPr="006243F4">
        <w:rPr>
          <w:rFonts w:ascii="Arial" w:eastAsiaTheme="minorHAnsi" w:hAnsi="Arial" w:cs="Arial"/>
          <w:bCs/>
          <w:sz w:val="20"/>
          <w:szCs w:val="20"/>
          <w:lang w:eastAsia="en-US"/>
        </w:rPr>
        <w:t xml:space="preserve">li assi viari più critici per la sicurezza stradale sono stati </w:t>
      </w:r>
      <w:r w:rsidR="005A6692" w:rsidRPr="006243F4">
        <w:rPr>
          <w:rFonts w:ascii="Arial" w:eastAsiaTheme="minorHAnsi" w:hAnsi="Arial" w:cs="Arial"/>
          <w:bCs/>
          <w:sz w:val="20"/>
          <w:szCs w:val="20"/>
          <w:lang w:eastAsia="en-US"/>
        </w:rPr>
        <w:t>la SS 658 Potenza-Melfi (3 morti</w:t>
      </w:r>
      <w:r w:rsidRPr="006243F4">
        <w:rPr>
          <w:rFonts w:ascii="Arial" w:eastAsiaTheme="minorHAnsi" w:hAnsi="Arial" w:cs="Arial"/>
          <w:bCs/>
          <w:sz w:val="20"/>
          <w:szCs w:val="20"/>
          <w:lang w:eastAsia="en-US"/>
        </w:rPr>
        <w:t xml:space="preserve">, </w:t>
      </w:r>
      <w:r w:rsidR="005A6692" w:rsidRPr="006243F4">
        <w:rPr>
          <w:rFonts w:ascii="Arial" w:eastAsiaTheme="minorHAnsi" w:hAnsi="Arial" w:cs="Arial"/>
          <w:bCs/>
          <w:sz w:val="20"/>
          <w:szCs w:val="20"/>
          <w:lang w:eastAsia="en-US"/>
        </w:rPr>
        <w:t xml:space="preserve">45 feriti), </w:t>
      </w:r>
      <w:r w:rsidR="005B37AE" w:rsidRPr="006243F4">
        <w:rPr>
          <w:rFonts w:ascii="Arial" w:eastAsiaTheme="minorHAnsi" w:hAnsi="Arial" w:cs="Arial"/>
          <w:bCs/>
          <w:sz w:val="20"/>
          <w:szCs w:val="20"/>
          <w:lang w:eastAsia="en-US"/>
        </w:rPr>
        <w:t>la SS 407 Basentana (</w:t>
      </w:r>
      <w:r w:rsidR="00674CE7" w:rsidRPr="006243F4">
        <w:rPr>
          <w:rFonts w:ascii="Arial" w:eastAsiaTheme="minorHAnsi" w:hAnsi="Arial" w:cs="Arial"/>
          <w:bCs/>
          <w:sz w:val="20"/>
          <w:szCs w:val="20"/>
          <w:lang w:eastAsia="en-US"/>
        </w:rPr>
        <w:t>3</w:t>
      </w:r>
      <w:r w:rsidR="005B37AE" w:rsidRPr="006243F4">
        <w:rPr>
          <w:rFonts w:ascii="Arial" w:eastAsiaTheme="minorHAnsi" w:hAnsi="Arial" w:cs="Arial"/>
          <w:bCs/>
          <w:sz w:val="20"/>
          <w:szCs w:val="20"/>
          <w:lang w:eastAsia="en-US"/>
        </w:rPr>
        <w:t xml:space="preserve"> morti</w:t>
      </w:r>
      <w:r w:rsidRPr="006243F4">
        <w:rPr>
          <w:rFonts w:ascii="Arial" w:eastAsiaTheme="minorHAnsi" w:hAnsi="Arial" w:cs="Arial"/>
          <w:bCs/>
          <w:sz w:val="20"/>
          <w:szCs w:val="20"/>
          <w:lang w:eastAsia="en-US"/>
        </w:rPr>
        <w:t>,</w:t>
      </w:r>
      <w:r w:rsidR="005B37AE" w:rsidRPr="006243F4">
        <w:rPr>
          <w:rFonts w:ascii="Arial" w:eastAsiaTheme="minorHAnsi" w:hAnsi="Arial" w:cs="Arial"/>
          <w:bCs/>
          <w:sz w:val="20"/>
          <w:szCs w:val="20"/>
          <w:lang w:eastAsia="en-US"/>
        </w:rPr>
        <w:t xml:space="preserve"> </w:t>
      </w:r>
      <w:r w:rsidR="005A6692" w:rsidRPr="006243F4">
        <w:rPr>
          <w:rFonts w:ascii="Arial" w:eastAsiaTheme="minorHAnsi" w:hAnsi="Arial" w:cs="Arial"/>
          <w:bCs/>
          <w:sz w:val="20"/>
          <w:szCs w:val="20"/>
          <w:lang w:eastAsia="en-US"/>
        </w:rPr>
        <w:t xml:space="preserve">38 </w:t>
      </w:r>
      <w:r w:rsidR="005B37AE" w:rsidRPr="006243F4">
        <w:rPr>
          <w:rFonts w:ascii="Arial" w:eastAsiaTheme="minorHAnsi" w:hAnsi="Arial" w:cs="Arial"/>
          <w:bCs/>
          <w:sz w:val="20"/>
          <w:szCs w:val="20"/>
          <w:lang w:eastAsia="en-US"/>
        </w:rPr>
        <w:t xml:space="preserve">feriti), </w:t>
      </w:r>
      <w:r w:rsidR="00A07890" w:rsidRPr="006243F4">
        <w:rPr>
          <w:rFonts w:ascii="Arial" w:eastAsiaTheme="minorHAnsi" w:hAnsi="Arial" w:cs="Arial"/>
          <w:bCs/>
          <w:sz w:val="20"/>
          <w:szCs w:val="20"/>
          <w:lang w:eastAsia="en-US"/>
        </w:rPr>
        <w:t xml:space="preserve">la SS 598 </w:t>
      </w:r>
      <w:r w:rsidR="00A07890" w:rsidRPr="006243F4">
        <w:rPr>
          <w:rFonts w:ascii="Arial" w:eastAsiaTheme="minorHAnsi" w:hAnsi="Arial" w:cs="Arial"/>
          <w:sz w:val="20"/>
          <w:szCs w:val="20"/>
          <w:lang w:eastAsia="en-US"/>
        </w:rPr>
        <w:t>Fondo Valle</w:t>
      </w:r>
      <w:r w:rsidR="005137E9" w:rsidRPr="006243F4">
        <w:rPr>
          <w:rFonts w:ascii="Arial" w:eastAsiaTheme="minorHAnsi" w:hAnsi="Arial" w:cs="Arial"/>
          <w:sz w:val="20"/>
          <w:szCs w:val="20"/>
          <w:lang w:eastAsia="en-US"/>
        </w:rPr>
        <w:t xml:space="preserve"> </w:t>
      </w:r>
      <w:r w:rsidR="00A07890" w:rsidRPr="006243F4">
        <w:rPr>
          <w:rFonts w:ascii="Arial" w:eastAsiaTheme="minorHAnsi" w:hAnsi="Arial" w:cs="Arial"/>
          <w:sz w:val="20"/>
          <w:szCs w:val="20"/>
          <w:lang w:eastAsia="en-US"/>
        </w:rPr>
        <w:t>d'Agri (2 morti</w:t>
      </w:r>
      <w:r w:rsidRPr="006243F4">
        <w:rPr>
          <w:rFonts w:ascii="Arial" w:eastAsiaTheme="minorHAnsi" w:hAnsi="Arial" w:cs="Arial"/>
          <w:sz w:val="20"/>
          <w:szCs w:val="20"/>
          <w:lang w:eastAsia="en-US"/>
        </w:rPr>
        <w:t>,</w:t>
      </w:r>
      <w:r w:rsidR="00A07890" w:rsidRPr="006243F4">
        <w:rPr>
          <w:rFonts w:ascii="Arial" w:eastAsiaTheme="minorHAnsi" w:hAnsi="Arial" w:cs="Arial"/>
          <w:sz w:val="20"/>
          <w:szCs w:val="20"/>
          <w:lang w:eastAsia="en-US"/>
        </w:rPr>
        <w:t xml:space="preserve"> 36 feriti), il tratto lucano della SS 7</w:t>
      </w:r>
      <w:r w:rsidR="005137E9" w:rsidRPr="006243F4">
        <w:rPr>
          <w:rFonts w:ascii="Arial" w:eastAsiaTheme="minorHAnsi" w:hAnsi="Arial" w:cs="Arial"/>
          <w:sz w:val="20"/>
          <w:szCs w:val="20"/>
          <w:lang w:eastAsia="en-US"/>
        </w:rPr>
        <w:t xml:space="preserve"> Via </w:t>
      </w:r>
      <w:r w:rsidR="00A07890" w:rsidRPr="006243F4">
        <w:rPr>
          <w:rFonts w:ascii="Arial" w:eastAsiaTheme="minorHAnsi" w:hAnsi="Arial" w:cs="Arial"/>
          <w:sz w:val="20"/>
          <w:szCs w:val="20"/>
          <w:lang w:eastAsia="en-US"/>
        </w:rPr>
        <w:t>Appia</w:t>
      </w:r>
      <w:r w:rsidR="009846DF" w:rsidRPr="006243F4">
        <w:rPr>
          <w:rFonts w:ascii="Arial" w:eastAsiaTheme="minorHAnsi" w:hAnsi="Arial" w:cs="Arial"/>
          <w:sz w:val="20"/>
          <w:szCs w:val="20"/>
          <w:lang w:eastAsia="en-US"/>
        </w:rPr>
        <w:t xml:space="preserve"> (2 morti</w:t>
      </w:r>
      <w:r w:rsidRPr="006243F4">
        <w:rPr>
          <w:rFonts w:ascii="Arial" w:eastAsiaTheme="minorHAnsi" w:hAnsi="Arial" w:cs="Arial"/>
          <w:sz w:val="20"/>
          <w:szCs w:val="20"/>
          <w:lang w:eastAsia="en-US"/>
        </w:rPr>
        <w:t>,</w:t>
      </w:r>
      <w:r w:rsidR="009846DF" w:rsidRPr="006243F4">
        <w:rPr>
          <w:rFonts w:ascii="Arial" w:eastAsiaTheme="minorHAnsi" w:hAnsi="Arial" w:cs="Arial"/>
          <w:sz w:val="20"/>
          <w:szCs w:val="20"/>
          <w:lang w:eastAsia="en-US"/>
        </w:rPr>
        <w:t xml:space="preserve"> 23 feriti),</w:t>
      </w:r>
      <w:r w:rsidR="00A07890" w:rsidRPr="006243F4">
        <w:rPr>
          <w:rFonts w:ascii="Arial" w:eastAsiaTheme="minorHAnsi" w:hAnsi="Arial" w:cs="Arial"/>
          <w:sz w:val="20"/>
          <w:szCs w:val="20"/>
          <w:lang w:eastAsia="en-US"/>
        </w:rPr>
        <w:t xml:space="preserve"> </w:t>
      </w:r>
      <w:r w:rsidR="009846DF" w:rsidRPr="006243F4">
        <w:rPr>
          <w:rFonts w:ascii="Arial" w:eastAsiaTheme="minorHAnsi" w:hAnsi="Arial" w:cs="Arial"/>
          <w:sz w:val="20"/>
          <w:szCs w:val="20"/>
          <w:lang w:eastAsia="en-US"/>
        </w:rPr>
        <w:t xml:space="preserve">la SS 106 Jonica </w:t>
      </w:r>
      <w:r w:rsidR="001E1E7D" w:rsidRPr="006243F4">
        <w:rPr>
          <w:rFonts w:ascii="Arial" w:eastAsiaTheme="minorHAnsi" w:hAnsi="Arial" w:cs="Arial"/>
          <w:sz w:val="20"/>
          <w:szCs w:val="20"/>
          <w:lang w:eastAsia="en-US"/>
        </w:rPr>
        <w:t>(</w:t>
      </w:r>
      <w:r w:rsidR="001E1E7D" w:rsidRPr="006243F4">
        <w:rPr>
          <w:rFonts w:ascii="Arial" w:eastAsiaTheme="minorHAnsi" w:hAnsi="Arial" w:cs="Arial"/>
          <w:bCs/>
          <w:sz w:val="20"/>
          <w:szCs w:val="20"/>
          <w:lang w:eastAsia="en-US"/>
        </w:rPr>
        <w:t>27</w:t>
      </w:r>
      <w:r w:rsidR="009846DF" w:rsidRPr="006243F4">
        <w:rPr>
          <w:rFonts w:ascii="Arial" w:eastAsiaTheme="minorHAnsi" w:hAnsi="Arial" w:cs="Arial"/>
          <w:bCs/>
          <w:sz w:val="20"/>
          <w:szCs w:val="20"/>
          <w:lang w:eastAsia="en-US"/>
        </w:rPr>
        <w:t xml:space="preserve"> feriti) e la SS 655 </w:t>
      </w:r>
      <w:r w:rsidR="00A22594" w:rsidRPr="006243F4">
        <w:rPr>
          <w:rFonts w:ascii="Arial" w:eastAsiaTheme="minorHAnsi" w:hAnsi="Arial" w:cs="Arial"/>
          <w:bCs/>
          <w:sz w:val="20"/>
          <w:szCs w:val="20"/>
          <w:lang w:eastAsia="en-US"/>
        </w:rPr>
        <w:t>Bradanica che</w:t>
      </w:r>
      <w:r w:rsidR="00BE5321" w:rsidRPr="006243F4">
        <w:rPr>
          <w:rFonts w:ascii="Arial" w:eastAsiaTheme="minorHAnsi" w:hAnsi="Arial" w:cs="Arial"/>
          <w:bCs/>
          <w:sz w:val="20"/>
          <w:szCs w:val="20"/>
          <w:lang w:eastAsia="en-US"/>
        </w:rPr>
        <w:t xml:space="preserve"> fa registrare </w:t>
      </w:r>
      <w:r w:rsidR="009846DF" w:rsidRPr="006243F4">
        <w:rPr>
          <w:rFonts w:ascii="Arial" w:eastAsiaTheme="minorHAnsi" w:hAnsi="Arial" w:cs="Arial"/>
          <w:bCs/>
          <w:sz w:val="20"/>
          <w:szCs w:val="20"/>
          <w:lang w:eastAsia="en-US"/>
        </w:rPr>
        <w:t>2 morti e 11 feriti</w:t>
      </w:r>
      <w:r w:rsidR="00BE5321" w:rsidRPr="006243F4">
        <w:rPr>
          <w:rFonts w:ascii="Arial" w:eastAsiaTheme="minorHAnsi" w:hAnsi="Arial" w:cs="Arial"/>
          <w:bCs/>
          <w:sz w:val="20"/>
          <w:szCs w:val="20"/>
          <w:lang w:eastAsia="en-US"/>
        </w:rPr>
        <w:t xml:space="preserve"> su un totale di 6 incidenti</w:t>
      </w:r>
      <w:r w:rsidR="009846DF" w:rsidRPr="006243F4">
        <w:rPr>
          <w:rFonts w:ascii="Arial" w:eastAsiaTheme="minorHAnsi" w:hAnsi="Arial" w:cs="Arial"/>
          <w:bCs/>
          <w:sz w:val="20"/>
          <w:szCs w:val="20"/>
          <w:lang w:eastAsia="en-US"/>
        </w:rPr>
        <w:t xml:space="preserve">. </w:t>
      </w:r>
      <w:r w:rsidR="0045716E" w:rsidRPr="006243F4">
        <w:rPr>
          <w:rFonts w:ascii="Arial" w:eastAsiaTheme="minorHAnsi" w:hAnsi="Arial" w:cs="Arial"/>
          <w:bCs/>
          <w:sz w:val="20"/>
          <w:szCs w:val="20"/>
          <w:lang w:eastAsia="en-US"/>
        </w:rPr>
        <w:t xml:space="preserve">Tra le strade provinciali, il maggior numero di feriti per </w:t>
      </w:r>
      <w:r w:rsidR="008A7F7B" w:rsidRPr="006243F4">
        <w:rPr>
          <w:rFonts w:ascii="Arial" w:eastAsiaTheme="minorHAnsi" w:hAnsi="Arial" w:cs="Arial"/>
          <w:bCs/>
          <w:sz w:val="20"/>
          <w:szCs w:val="20"/>
          <w:lang w:eastAsia="en-US"/>
        </w:rPr>
        <w:t>incidentalità</w:t>
      </w:r>
      <w:r w:rsidR="0045716E" w:rsidRPr="006243F4">
        <w:rPr>
          <w:rFonts w:ascii="Arial" w:eastAsiaTheme="minorHAnsi" w:hAnsi="Arial" w:cs="Arial"/>
          <w:bCs/>
          <w:sz w:val="20"/>
          <w:szCs w:val="20"/>
          <w:lang w:eastAsia="en-US"/>
        </w:rPr>
        <w:t xml:space="preserve"> stradale si registra sull</w:t>
      </w:r>
      <w:r w:rsidR="008A7F7B" w:rsidRPr="006243F4">
        <w:rPr>
          <w:rFonts w:ascii="Arial" w:eastAsiaTheme="minorHAnsi" w:hAnsi="Arial" w:cs="Arial"/>
          <w:bCs/>
          <w:sz w:val="20"/>
          <w:szCs w:val="20"/>
          <w:lang w:eastAsia="en-US"/>
        </w:rPr>
        <w:t>e</w:t>
      </w:r>
      <w:r w:rsidR="0045716E" w:rsidRPr="006243F4">
        <w:rPr>
          <w:rFonts w:ascii="Arial" w:eastAsiaTheme="minorHAnsi" w:hAnsi="Arial" w:cs="Arial"/>
          <w:bCs/>
          <w:sz w:val="20"/>
          <w:szCs w:val="20"/>
          <w:lang w:eastAsia="en-US"/>
        </w:rPr>
        <w:t xml:space="preserve"> SP</w:t>
      </w:r>
      <w:r w:rsidR="005701C0">
        <w:rPr>
          <w:rFonts w:ascii="Arial" w:eastAsiaTheme="minorHAnsi" w:hAnsi="Arial" w:cs="Arial"/>
          <w:bCs/>
          <w:sz w:val="20"/>
          <w:szCs w:val="20"/>
          <w:lang w:eastAsia="en-US"/>
        </w:rPr>
        <w:t xml:space="preserve"> </w:t>
      </w:r>
      <w:r w:rsidR="0045716E" w:rsidRPr="006243F4">
        <w:rPr>
          <w:rFonts w:ascii="Arial" w:eastAsiaTheme="minorHAnsi" w:hAnsi="Arial" w:cs="Arial"/>
          <w:bCs/>
          <w:sz w:val="20"/>
          <w:szCs w:val="20"/>
          <w:lang w:eastAsia="en-US"/>
        </w:rPr>
        <w:t>3</w:t>
      </w:r>
      <w:r w:rsidR="008A7F7B" w:rsidRPr="006243F4">
        <w:rPr>
          <w:rFonts w:ascii="Arial" w:eastAsiaTheme="minorHAnsi" w:hAnsi="Arial" w:cs="Arial"/>
          <w:bCs/>
          <w:sz w:val="20"/>
          <w:szCs w:val="20"/>
          <w:lang w:eastAsia="en-US"/>
        </w:rPr>
        <w:t xml:space="preserve"> e SP</w:t>
      </w:r>
      <w:r w:rsidR="005701C0">
        <w:rPr>
          <w:rFonts w:ascii="Arial" w:eastAsiaTheme="minorHAnsi" w:hAnsi="Arial" w:cs="Arial"/>
          <w:bCs/>
          <w:sz w:val="20"/>
          <w:szCs w:val="20"/>
          <w:lang w:eastAsia="en-US"/>
        </w:rPr>
        <w:t xml:space="preserve"> </w:t>
      </w:r>
      <w:r w:rsidR="008A7F7B" w:rsidRPr="006243F4">
        <w:rPr>
          <w:rFonts w:ascii="Arial" w:eastAsiaTheme="minorHAnsi" w:hAnsi="Arial" w:cs="Arial"/>
          <w:bCs/>
          <w:sz w:val="20"/>
          <w:szCs w:val="20"/>
          <w:lang w:eastAsia="en-US"/>
        </w:rPr>
        <w:t>18</w:t>
      </w:r>
      <w:r w:rsidR="00041E61">
        <w:rPr>
          <w:rFonts w:ascii="Arial" w:eastAsiaTheme="minorHAnsi" w:hAnsi="Arial" w:cs="Arial"/>
          <w:bCs/>
          <w:sz w:val="20"/>
          <w:szCs w:val="20"/>
          <w:lang w:eastAsia="en-US"/>
        </w:rPr>
        <w:t>,</w:t>
      </w:r>
      <w:r w:rsidR="0095489B" w:rsidRPr="006243F4">
        <w:rPr>
          <w:rFonts w:ascii="Arial" w:eastAsiaTheme="minorHAnsi" w:hAnsi="Arial" w:cs="Arial"/>
          <w:bCs/>
          <w:sz w:val="20"/>
          <w:szCs w:val="20"/>
          <w:lang w:eastAsia="en-US"/>
        </w:rPr>
        <w:t xml:space="preserve"> </w:t>
      </w:r>
      <w:r w:rsidR="00AD648C" w:rsidRPr="006243F4">
        <w:rPr>
          <w:rFonts w:ascii="Arial" w:eastAsiaTheme="minorHAnsi" w:hAnsi="Arial" w:cs="Arial"/>
          <w:bCs/>
          <w:sz w:val="20"/>
          <w:szCs w:val="20"/>
          <w:lang w:eastAsia="en-US"/>
        </w:rPr>
        <w:t xml:space="preserve">in provincia di Matera </w:t>
      </w:r>
      <w:r w:rsidR="0095489B" w:rsidRPr="006243F4">
        <w:rPr>
          <w:rFonts w:ascii="Arial" w:eastAsiaTheme="minorHAnsi" w:hAnsi="Arial" w:cs="Arial"/>
          <w:bCs/>
          <w:sz w:val="20"/>
          <w:szCs w:val="20"/>
          <w:lang w:eastAsia="en-US"/>
        </w:rPr>
        <w:t>(rispettivamente 20 e 16 feriti)</w:t>
      </w:r>
      <w:r w:rsidR="00AD648C" w:rsidRPr="006243F4">
        <w:rPr>
          <w:rFonts w:ascii="Arial" w:eastAsiaTheme="minorHAnsi" w:hAnsi="Arial" w:cs="Arial"/>
          <w:bCs/>
          <w:sz w:val="20"/>
          <w:szCs w:val="20"/>
          <w:lang w:eastAsia="en-US"/>
        </w:rPr>
        <w:t>.</w:t>
      </w:r>
    </w:p>
    <w:p w14:paraId="59D36FBB" w14:textId="77777777" w:rsidR="00E43477" w:rsidRPr="00485547" w:rsidRDefault="00E43477" w:rsidP="00B71E26">
      <w:pPr>
        <w:spacing w:after="120"/>
        <w:ind w:left="1843"/>
        <w:jc w:val="both"/>
        <w:rPr>
          <w:rFonts w:ascii="Arial Narrow" w:hAnsi="Arial Narrow" w:cs="Arial"/>
          <w:b/>
          <w:bCs/>
          <w:iCs/>
          <w:caps/>
          <w:sz w:val="2"/>
          <w:szCs w:val="2"/>
        </w:rPr>
      </w:pPr>
    </w:p>
    <w:p w14:paraId="17682E24" w14:textId="1CA461E2" w:rsidR="00BA6339" w:rsidRPr="00485547" w:rsidRDefault="00182EB3" w:rsidP="001917AF">
      <w:pPr>
        <w:rPr>
          <w:rFonts w:ascii="Arial Narrow" w:hAnsi="Arial Narrow" w:cs="Arial"/>
          <w:sz w:val="19"/>
          <w:szCs w:val="19"/>
        </w:rPr>
      </w:pPr>
      <w:r w:rsidRPr="00B71E26">
        <w:rPr>
          <w:rFonts w:ascii="Arial Narrow" w:hAnsi="Arial Narrow" w:cs="Arial"/>
          <w:b/>
          <w:bCs/>
          <w:iCs/>
          <w:caps/>
          <w:color w:val="808080" w:themeColor="background1" w:themeShade="80"/>
          <w:sz w:val="20"/>
          <w:szCs w:val="20"/>
        </w:rPr>
        <w:t xml:space="preserve">FIGURA </w:t>
      </w:r>
      <w:r w:rsidR="00A9331C" w:rsidRPr="00B71E26">
        <w:rPr>
          <w:rFonts w:ascii="Arial Narrow" w:hAnsi="Arial Narrow" w:cs="Arial"/>
          <w:b/>
          <w:bCs/>
          <w:iCs/>
          <w:caps/>
          <w:color w:val="808080" w:themeColor="background1" w:themeShade="80"/>
          <w:sz w:val="20"/>
          <w:szCs w:val="20"/>
        </w:rPr>
        <w:t>2</w:t>
      </w:r>
      <w:r w:rsidRPr="00B71E26">
        <w:rPr>
          <w:rFonts w:ascii="Arial Narrow" w:hAnsi="Arial Narrow" w:cs="Arial"/>
          <w:b/>
          <w:bCs/>
          <w:iCs/>
          <w:caps/>
          <w:color w:val="808080" w:themeColor="background1" w:themeShade="80"/>
          <w:sz w:val="20"/>
          <w:szCs w:val="20"/>
        </w:rPr>
        <w:t>. Incidentalità</w:t>
      </w:r>
      <w:r w:rsidR="00D61FA4" w:rsidRPr="00B71E26">
        <w:rPr>
          <w:rFonts w:ascii="Arial Narrow" w:hAnsi="Arial Narrow" w:cs="Arial"/>
          <w:b/>
          <w:bCs/>
          <w:iCs/>
          <w:caps/>
          <w:color w:val="808080" w:themeColor="background1" w:themeShade="80"/>
          <w:sz w:val="20"/>
          <w:szCs w:val="20"/>
        </w:rPr>
        <w:t xml:space="preserve"> stradale</w:t>
      </w:r>
      <w:r w:rsidR="0069632E" w:rsidRPr="00B71E26">
        <w:rPr>
          <w:rFonts w:ascii="Arial Narrow" w:hAnsi="Arial Narrow" w:cs="Arial"/>
          <w:b/>
          <w:bCs/>
          <w:iCs/>
          <w:caps/>
          <w:color w:val="808080" w:themeColor="background1" w:themeShade="80"/>
          <w:sz w:val="20"/>
          <w:szCs w:val="20"/>
        </w:rPr>
        <w:t xml:space="preserve">, </w:t>
      </w:r>
      <w:r w:rsidR="00A1310C">
        <w:rPr>
          <w:rFonts w:ascii="Arial Narrow" w:hAnsi="Arial Narrow" w:cs="Arial"/>
          <w:b/>
          <w:bCs/>
          <w:iCs/>
          <w:caps/>
          <w:color w:val="808080" w:themeColor="background1" w:themeShade="80"/>
          <w:sz w:val="20"/>
          <w:szCs w:val="20"/>
        </w:rPr>
        <w:t>BASILICATA</w:t>
      </w:r>
      <w:r w:rsidR="00F26B57" w:rsidRPr="00485547">
        <w:rPr>
          <w:rFonts w:ascii="Arial Narrow" w:hAnsi="Arial Narrow" w:cs="Arial"/>
          <w:b/>
          <w:bCs/>
          <w:iCs/>
          <w:caps/>
          <w:sz w:val="20"/>
          <w:szCs w:val="20"/>
        </w:rPr>
        <w:t>.</w:t>
      </w:r>
      <w:r w:rsidR="00D61FA4" w:rsidRPr="00485547">
        <w:rPr>
          <w:rFonts w:ascii="Arial Narrow" w:hAnsi="Arial Narrow" w:cs="Arial"/>
          <w:b/>
          <w:bCs/>
          <w:iCs/>
          <w:caps/>
          <w:sz w:val="20"/>
          <w:szCs w:val="20"/>
        </w:rPr>
        <w:t xml:space="preserve"> </w:t>
      </w:r>
      <w:r w:rsidR="00D61FA4" w:rsidRPr="00485547">
        <w:rPr>
          <w:rFonts w:ascii="Arial Narrow" w:hAnsi="Arial Narrow" w:cs="Arial"/>
          <w:sz w:val="19"/>
          <w:szCs w:val="19"/>
        </w:rPr>
        <w:t xml:space="preserve">Anno </w:t>
      </w:r>
      <w:r w:rsidR="00F81B14" w:rsidRPr="00485547">
        <w:rPr>
          <w:rFonts w:ascii="Arial Narrow" w:hAnsi="Arial Narrow" w:cs="Arial"/>
          <w:sz w:val="19"/>
          <w:szCs w:val="19"/>
        </w:rPr>
        <w:t>20</w:t>
      </w:r>
      <w:r w:rsidR="001A4958">
        <w:rPr>
          <w:rFonts w:ascii="Arial Narrow" w:hAnsi="Arial Narrow" w:cs="Arial"/>
          <w:sz w:val="19"/>
          <w:szCs w:val="19"/>
        </w:rPr>
        <w:t>2</w:t>
      </w:r>
      <w:r w:rsidR="0058258F">
        <w:rPr>
          <w:rFonts w:ascii="Arial Narrow" w:hAnsi="Arial Narrow" w:cs="Arial"/>
          <w:sz w:val="19"/>
          <w:szCs w:val="19"/>
        </w:rPr>
        <w:t>1</w:t>
      </w:r>
      <w:r w:rsidR="00D61FA4" w:rsidRPr="00485547">
        <w:rPr>
          <w:rFonts w:ascii="Arial Narrow" w:hAnsi="Arial Narrow" w:cs="Arial"/>
          <w:sz w:val="19"/>
          <w:szCs w:val="19"/>
        </w:rPr>
        <w:t>, indicatori</w:t>
      </w:r>
    </w:p>
    <w:tbl>
      <w:tblPr>
        <w:tblStyle w:val="Grigliatabella"/>
        <w:tblW w:w="100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4"/>
        <w:gridCol w:w="5044"/>
      </w:tblGrid>
      <w:tr w:rsidR="000A46FD" w:rsidRPr="006D5EB7" w14:paraId="6BA6C2B0" w14:textId="773AB205" w:rsidTr="001917AF">
        <w:trPr>
          <w:trHeight w:val="2999"/>
        </w:trPr>
        <w:tc>
          <w:tcPr>
            <w:tcW w:w="5044" w:type="dxa"/>
          </w:tcPr>
          <w:p w14:paraId="49F9B1E3" w14:textId="099703A6" w:rsidR="000A46FD" w:rsidRPr="006D5EB7" w:rsidDel="00444A12" w:rsidRDefault="000A46FD" w:rsidP="00C010EE">
            <w:pPr>
              <w:tabs>
                <w:tab w:val="left" w:pos="3237"/>
              </w:tabs>
              <w:spacing w:before="120" w:after="120"/>
              <w:jc w:val="center"/>
              <w:rPr>
                <w:noProof/>
                <w:color w:val="FF0000"/>
              </w:rPr>
            </w:pPr>
            <w:r w:rsidRPr="00C55CA4">
              <w:rPr>
                <w:rFonts w:ascii="Arial Narrow" w:hAnsi="Arial Narrow" w:cs="Arial"/>
                <w:b/>
                <w:bCs/>
                <w:iCs/>
                <w:caps/>
                <w:noProof/>
                <w:color w:val="808080" w:themeColor="background1" w:themeShade="80"/>
                <w:sz w:val="20"/>
                <w:szCs w:val="20"/>
              </w:rPr>
              <w:drawing>
                <wp:inline distT="0" distB="0" distL="0" distR="0" wp14:anchorId="52AC9FB1" wp14:editId="4DB1835B">
                  <wp:extent cx="1800000" cy="1800000"/>
                  <wp:effectExtent l="0" t="0" r="0" b="0"/>
                  <wp:docPr id="9" name="Immagine 9" descr="R:\2022\GIS\Mappe_2022\Definitive\17_Basilicata\Basilicata_incidentix1000ab_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2022\GIS\Mappe_2022\Definitive\17_Basilicata\Basilicata_incidentix1000ab_202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044" w:type="dxa"/>
          </w:tcPr>
          <w:p w14:paraId="0B2A2A55" w14:textId="2721D9B3" w:rsidR="000A46FD" w:rsidRPr="006D5EB7" w:rsidRDefault="000A46FD" w:rsidP="00C010EE">
            <w:pPr>
              <w:tabs>
                <w:tab w:val="left" w:pos="3424"/>
              </w:tabs>
              <w:spacing w:before="120" w:after="120"/>
              <w:jc w:val="center"/>
              <w:rPr>
                <w:noProof/>
                <w:color w:val="FF0000"/>
              </w:rPr>
            </w:pPr>
            <w:r w:rsidRPr="00C55CA4">
              <w:rPr>
                <w:rFonts w:ascii="Arial Narrow" w:hAnsi="Arial Narrow" w:cs="Arial"/>
                <w:b/>
                <w:bCs/>
                <w:iCs/>
                <w:caps/>
                <w:noProof/>
                <w:color w:val="808080" w:themeColor="background1" w:themeShade="80"/>
                <w:sz w:val="20"/>
                <w:szCs w:val="20"/>
              </w:rPr>
              <w:drawing>
                <wp:inline distT="0" distB="0" distL="0" distR="0" wp14:anchorId="38041E50" wp14:editId="6C3215A5">
                  <wp:extent cx="1800000" cy="1800000"/>
                  <wp:effectExtent l="0" t="0" r="0" b="0"/>
                  <wp:docPr id="10" name="Immagine 10" descr="R:\2022\GIS\Mappe_2022\Definitive\17_Basilicata\Basilicata_lesivita_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2022\GIS\Mappe_2022\Definitive\17_Basilicata\Basilicata_lesivita_2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r>
      <w:tr w:rsidR="000A46FD" w:rsidRPr="006D5EB7" w14:paraId="3D5DBCDD" w14:textId="3AE689BC" w:rsidTr="00110458">
        <w:trPr>
          <w:trHeight w:val="2809"/>
        </w:trPr>
        <w:tc>
          <w:tcPr>
            <w:tcW w:w="5044" w:type="dxa"/>
          </w:tcPr>
          <w:p w14:paraId="041C9B29" w14:textId="7774CF0B" w:rsidR="000A46FD" w:rsidRPr="006D5EB7" w:rsidDel="00444A12" w:rsidRDefault="000A46FD" w:rsidP="00C010EE">
            <w:pPr>
              <w:tabs>
                <w:tab w:val="left" w:pos="3237"/>
              </w:tabs>
              <w:spacing w:before="120" w:after="120"/>
              <w:jc w:val="center"/>
              <w:rPr>
                <w:noProof/>
                <w:color w:val="FF0000"/>
              </w:rPr>
            </w:pPr>
            <w:r w:rsidRPr="00C55CA4">
              <w:rPr>
                <w:rFonts w:ascii="Arial Narrow" w:hAnsi="Arial Narrow" w:cs="Arial"/>
                <w:b/>
                <w:bCs/>
                <w:iCs/>
                <w:caps/>
                <w:noProof/>
                <w:color w:val="808080" w:themeColor="background1" w:themeShade="80"/>
                <w:sz w:val="20"/>
                <w:szCs w:val="20"/>
              </w:rPr>
              <w:drawing>
                <wp:inline distT="0" distB="0" distL="0" distR="0" wp14:anchorId="5737E2A3" wp14:editId="58754C3B">
                  <wp:extent cx="1800000" cy="1800000"/>
                  <wp:effectExtent l="0" t="0" r="0" b="0"/>
                  <wp:docPr id="46" name="Immagine 46" descr="R:\2022\GIS\Mappe_2022\Definitive\17_Basilicata\Basilicata_mortalita_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2022\GIS\Mappe_2022\Definitive\17_Basilicata\Basilicata_mortalita_202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044" w:type="dxa"/>
          </w:tcPr>
          <w:p w14:paraId="587937C7" w14:textId="769F5248" w:rsidR="000A46FD" w:rsidRPr="006D5EB7" w:rsidRDefault="000A46FD" w:rsidP="00C010EE">
            <w:pPr>
              <w:tabs>
                <w:tab w:val="left" w:pos="3424"/>
              </w:tabs>
              <w:spacing w:before="120" w:after="120"/>
              <w:jc w:val="center"/>
              <w:rPr>
                <w:noProof/>
                <w:color w:val="FF0000"/>
              </w:rPr>
            </w:pPr>
            <w:r w:rsidRPr="00C55CA4">
              <w:rPr>
                <w:rFonts w:ascii="Arial Narrow" w:hAnsi="Arial Narrow" w:cs="Arial"/>
                <w:b/>
                <w:bCs/>
                <w:iCs/>
                <w:caps/>
                <w:noProof/>
                <w:color w:val="808080" w:themeColor="background1" w:themeShade="80"/>
                <w:sz w:val="20"/>
                <w:szCs w:val="20"/>
              </w:rPr>
              <w:drawing>
                <wp:inline distT="0" distB="0" distL="0" distR="0" wp14:anchorId="59247AA8" wp14:editId="26FA65DA">
                  <wp:extent cx="1800000" cy="1800000"/>
                  <wp:effectExtent l="0" t="0" r="0" b="0"/>
                  <wp:docPr id="19" name="Immagine 19" descr="R:\2022\GIS\Mappe_2022\Definitive\17_Basilicata\Basilicata_gravita_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2022\GIS\Mappe_2022\Definitive\17_Basilicata\Basilicata_gravita_202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r>
    </w:tbl>
    <w:p w14:paraId="5FBD4F92" w14:textId="6D84660C" w:rsidR="00B71E26" w:rsidRDefault="00B71E26" w:rsidP="002D56DF">
      <w:pPr>
        <w:rPr>
          <w:rFonts w:ascii="Arial Narrow" w:hAnsi="Arial Narrow" w:cs="Arial"/>
          <w:b/>
          <w:bCs/>
          <w:iCs/>
          <w:caps/>
          <w:sz w:val="20"/>
          <w:szCs w:val="20"/>
        </w:rPr>
      </w:pPr>
    </w:p>
    <w:p w14:paraId="3AC60587" w14:textId="77777777" w:rsidR="00B71E26" w:rsidRPr="00985D39" w:rsidRDefault="00B71E26" w:rsidP="0032149D">
      <w:pPr>
        <w:ind w:left="1560"/>
        <w:rPr>
          <w:rFonts w:ascii="Arial Narrow" w:hAnsi="Arial Narrow" w:cs="Arial"/>
          <w:b/>
          <w:bCs/>
          <w:iCs/>
          <w:caps/>
          <w:sz w:val="6"/>
          <w:szCs w:val="6"/>
        </w:rPr>
      </w:pPr>
    </w:p>
    <w:p w14:paraId="5DDC0263" w14:textId="77777777" w:rsidR="005C17C4" w:rsidRPr="00AC5BCF" w:rsidRDefault="005C17C4" w:rsidP="00B71E26">
      <w:pPr>
        <w:spacing w:after="120"/>
        <w:ind w:right="-113"/>
        <w:rPr>
          <w:rFonts w:ascii="Arial Narrow" w:hAnsi="Arial Narrow" w:cs="Arial"/>
          <w:b/>
          <w:bCs/>
          <w:iCs/>
          <w:caps/>
          <w:color w:val="808080" w:themeColor="background1" w:themeShade="80"/>
          <w:sz w:val="10"/>
          <w:szCs w:val="10"/>
        </w:rPr>
      </w:pPr>
    </w:p>
    <w:p w14:paraId="12DDCFFE" w14:textId="77777777" w:rsidR="007D5C04" w:rsidRDefault="007D5C04" w:rsidP="00AC5BCF">
      <w:pPr>
        <w:ind w:right="-113"/>
        <w:rPr>
          <w:rFonts w:ascii="Arial Narrow" w:hAnsi="Arial Narrow" w:cs="Arial"/>
          <w:b/>
          <w:bCs/>
          <w:iCs/>
          <w:caps/>
          <w:color w:val="808080" w:themeColor="background1" w:themeShade="80"/>
          <w:sz w:val="20"/>
          <w:szCs w:val="20"/>
        </w:rPr>
      </w:pPr>
    </w:p>
    <w:p w14:paraId="738E1069" w14:textId="3A976A76" w:rsidR="00D61FA4" w:rsidRPr="00485547" w:rsidRDefault="00182EB3" w:rsidP="00AC5BCF">
      <w:pPr>
        <w:ind w:right="-113"/>
        <w:rPr>
          <w:rFonts w:ascii="Arial Narrow" w:hAnsi="Arial Narrow" w:cs="Arial"/>
          <w:sz w:val="19"/>
          <w:szCs w:val="19"/>
        </w:rPr>
      </w:pPr>
      <w:r w:rsidRPr="00B71E26">
        <w:rPr>
          <w:rFonts w:ascii="Arial Narrow" w:hAnsi="Arial Narrow" w:cs="Arial"/>
          <w:b/>
          <w:bCs/>
          <w:iCs/>
          <w:caps/>
          <w:color w:val="808080" w:themeColor="background1" w:themeShade="80"/>
          <w:sz w:val="20"/>
          <w:szCs w:val="20"/>
        </w:rPr>
        <w:t xml:space="preserve">Figura </w:t>
      </w:r>
      <w:r w:rsidR="00A9331C" w:rsidRPr="00B71E26">
        <w:rPr>
          <w:rFonts w:ascii="Arial Narrow" w:hAnsi="Arial Narrow" w:cs="Arial"/>
          <w:b/>
          <w:bCs/>
          <w:iCs/>
          <w:caps/>
          <w:color w:val="808080" w:themeColor="background1" w:themeShade="80"/>
          <w:sz w:val="20"/>
          <w:szCs w:val="20"/>
        </w:rPr>
        <w:t>3</w:t>
      </w:r>
      <w:r w:rsidR="005802D5" w:rsidRPr="00B71E26">
        <w:rPr>
          <w:rFonts w:ascii="Arial Narrow" w:hAnsi="Arial Narrow" w:cs="Arial"/>
          <w:b/>
          <w:bCs/>
          <w:iCs/>
          <w:caps/>
          <w:color w:val="808080" w:themeColor="background1" w:themeShade="80"/>
          <w:sz w:val="20"/>
          <w:szCs w:val="20"/>
        </w:rPr>
        <w:t>. IndicI</w:t>
      </w:r>
      <w:r w:rsidR="00D61FA4" w:rsidRPr="00B71E26">
        <w:rPr>
          <w:rFonts w:ascii="Arial Narrow" w:hAnsi="Arial Narrow" w:cs="Arial"/>
          <w:b/>
          <w:bCs/>
          <w:iCs/>
          <w:caps/>
          <w:color w:val="808080" w:themeColor="background1" w:themeShade="80"/>
          <w:sz w:val="20"/>
          <w:szCs w:val="20"/>
        </w:rPr>
        <w:t xml:space="preserve"> </w:t>
      </w:r>
      <w:r w:rsidR="00FC0355" w:rsidRPr="00B71E26">
        <w:rPr>
          <w:rFonts w:ascii="Arial Narrow" w:hAnsi="Arial Narrow" w:cs="Arial"/>
          <w:b/>
          <w:bCs/>
          <w:iCs/>
          <w:caps/>
          <w:color w:val="808080" w:themeColor="background1" w:themeShade="80"/>
          <w:sz w:val="20"/>
          <w:szCs w:val="20"/>
        </w:rPr>
        <w:t xml:space="preserve">di mortalità e </w:t>
      </w:r>
      <w:r w:rsidR="00D61FA4" w:rsidRPr="00B71E26">
        <w:rPr>
          <w:rFonts w:ascii="Arial Narrow" w:hAnsi="Arial Narrow" w:cs="Arial"/>
          <w:b/>
          <w:bCs/>
          <w:iCs/>
          <w:caps/>
          <w:color w:val="808080" w:themeColor="background1" w:themeShade="80"/>
          <w:sz w:val="20"/>
          <w:szCs w:val="20"/>
        </w:rPr>
        <w:t>lesività</w:t>
      </w:r>
      <w:r w:rsidR="0069632E" w:rsidRPr="00B71E26">
        <w:rPr>
          <w:rFonts w:ascii="Arial Narrow" w:hAnsi="Arial Narrow" w:cs="Arial"/>
          <w:b/>
          <w:bCs/>
          <w:iCs/>
          <w:caps/>
          <w:color w:val="808080" w:themeColor="background1" w:themeShade="80"/>
          <w:sz w:val="20"/>
          <w:szCs w:val="20"/>
        </w:rPr>
        <w:t xml:space="preserve">, </w:t>
      </w:r>
      <w:r w:rsidR="00A1310C">
        <w:rPr>
          <w:rFonts w:ascii="Arial Narrow" w:hAnsi="Arial Narrow" w:cs="Arial"/>
          <w:b/>
          <w:bCs/>
          <w:iCs/>
          <w:caps/>
          <w:color w:val="808080" w:themeColor="background1" w:themeShade="80"/>
          <w:sz w:val="20"/>
          <w:szCs w:val="20"/>
        </w:rPr>
        <w:t>BASILICATA</w:t>
      </w:r>
      <w:r w:rsidR="00F26B57" w:rsidRPr="00B71E26">
        <w:rPr>
          <w:rFonts w:ascii="Arial Narrow" w:hAnsi="Arial Narrow" w:cs="Arial"/>
          <w:b/>
          <w:bCs/>
          <w:iCs/>
          <w:caps/>
          <w:color w:val="808080" w:themeColor="background1" w:themeShade="80"/>
          <w:sz w:val="20"/>
          <w:szCs w:val="20"/>
        </w:rPr>
        <w:t>.</w:t>
      </w:r>
      <w:r w:rsidR="0032149D" w:rsidRPr="00B71E26">
        <w:rPr>
          <w:rFonts w:ascii="Arial Narrow" w:hAnsi="Arial Narrow" w:cs="Arial"/>
          <w:b/>
          <w:bCs/>
          <w:iCs/>
          <w:caps/>
          <w:color w:val="808080" w:themeColor="background1" w:themeShade="80"/>
          <w:sz w:val="20"/>
          <w:szCs w:val="20"/>
        </w:rPr>
        <w:t xml:space="preserve"> </w:t>
      </w:r>
      <w:r w:rsidR="00D61FA4" w:rsidRPr="00485547">
        <w:rPr>
          <w:rFonts w:ascii="Arial Narrow" w:hAnsi="Arial Narrow" w:cs="Arial"/>
          <w:sz w:val="19"/>
          <w:szCs w:val="19"/>
        </w:rPr>
        <w:t xml:space="preserve">Anni </w:t>
      </w:r>
      <w:r w:rsidR="00F81B14" w:rsidRPr="00485547">
        <w:rPr>
          <w:rFonts w:ascii="Arial Narrow" w:hAnsi="Arial Narrow" w:cs="Arial"/>
          <w:sz w:val="19"/>
          <w:szCs w:val="19"/>
        </w:rPr>
        <w:t>20</w:t>
      </w:r>
      <w:r w:rsidR="0058258F">
        <w:rPr>
          <w:rFonts w:ascii="Arial Narrow" w:hAnsi="Arial Narrow" w:cs="Arial"/>
          <w:sz w:val="19"/>
          <w:szCs w:val="19"/>
        </w:rPr>
        <w:t>20</w:t>
      </w:r>
      <w:r w:rsidR="00D61FA4" w:rsidRPr="00485547">
        <w:rPr>
          <w:rFonts w:ascii="Arial Narrow" w:hAnsi="Arial Narrow" w:cs="Arial"/>
          <w:sz w:val="19"/>
          <w:szCs w:val="19"/>
        </w:rPr>
        <w:t>-</w:t>
      </w:r>
      <w:r w:rsidR="00F81B14" w:rsidRPr="00485547">
        <w:rPr>
          <w:rFonts w:ascii="Arial Narrow" w:hAnsi="Arial Narrow" w:cs="Arial"/>
          <w:sz w:val="19"/>
          <w:szCs w:val="19"/>
        </w:rPr>
        <w:t>20</w:t>
      </w:r>
      <w:r w:rsidR="001A4958">
        <w:rPr>
          <w:rFonts w:ascii="Arial Narrow" w:hAnsi="Arial Narrow" w:cs="Arial"/>
          <w:sz w:val="19"/>
          <w:szCs w:val="19"/>
        </w:rPr>
        <w:t>2</w:t>
      </w:r>
      <w:r w:rsidR="0058258F">
        <w:rPr>
          <w:rFonts w:ascii="Arial Narrow" w:hAnsi="Arial Narrow" w:cs="Arial"/>
          <w:sz w:val="19"/>
          <w:szCs w:val="19"/>
        </w:rPr>
        <w:t>1</w:t>
      </w:r>
      <w:r w:rsidR="00542729" w:rsidRPr="00485547">
        <w:rPr>
          <w:rFonts w:ascii="Arial Narrow" w:hAnsi="Arial Narrow" w:cs="Arial"/>
          <w:sz w:val="19"/>
          <w:szCs w:val="19"/>
        </w:rPr>
        <w:t xml:space="preserve">, </w:t>
      </w:r>
      <w:r w:rsidR="00D61FA4" w:rsidRPr="00485547">
        <w:rPr>
          <w:rFonts w:ascii="Arial Narrow" w:hAnsi="Arial Narrow" w:cs="Arial"/>
          <w:sz w:val="19"/>
          <w:szCs w:val="19"/>
        </w:rPr>
        <w:t>variazioni percentuali</w:t>
      </w:r>
    </w:p>
    <w:tbl>
      <w:tblPr>
        <w:tblStyle w:val="Grigliatabella"/>
        <w:tblW w:w="1006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820"/>
      </w:tblGrid>
      <w:tr w:rsidR="00D61FA4" w:rsidRPr="006D5EB7" w14:paraId="0F234AC1" w14:textId="77777777" w:rsidTr="001917AF">
        <w:trPr>
          <w:trHeight w:val="3428"/>
        </w:trPr>
        <w:tc>
          <w:tcPr>
            <w:tcW w:w="5245" w:type="dxa"/>
          </w:tcPr>
          <w:p w14:paraId="413AED34" w14:textId="79CD471D" w:rsidR="00BA00DB" w:rsidRPr="006D5EB7" w:rsidRDefault="001E1E7D" w:rsidP="000264A7">
            <w:pPr>
              <w:suppressAutoHyphens/>
              <w:jc w:val="center"/>
              <w:rPr>
                <w:rFonts w:eastAsiaTheme="minorEastAsia"/>
                <w:b/>
                <w:color w:val="FF0000"/>
                <w:sz w:val="20"/>
                <w:szCs w:val="20"/>
                <w:highlight w:val="yellow"/>
              </w:rPr>
            </w:pPr>
            <w:r w:rsidRPr="00C55CA4">
              <w:rPr>
                <w:noProof/>
                <w:color w:val="FF0000"/>
              </w:rPr>
              <w:drawing>
                <wp:inline distT="0" distB="0" distL="0" distR="0" wp14:anchorId="532E1B6B" wp14:editId="792D4196">
                  <wp:extent cx="2160000" cy="2160000"/>
                  <wp:effectExtent l="0" t="0" r="0" b="0"/>
                  <wp:docPr id="7" name="Immagine 7" descr="R:\2022\GIS\Mappe_2022\Definitive\17_Basilicata\Basilicata_variazioni_mortalita_2020_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2022\GIS\Mappe_2022\Definitive\17_Basilicata\Basilicata_variazioni_mortalita_2020_202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tc>
        <w:tc>
          <w:tcPr>
            <w:tcW w:w="4820" w:type="dxa"/>
          </w:tcPr>
          <w:p w14:paraId="0CAACA65" w14:textId="227DA95D" w:rsidR="00D61FA4" w:rsidRPr="006D5EB7" w:rsidRDefault="001E1E7D" w:rsidP="000264A7">
            <w:pPr>
              <w:suppressAutoHyphens/>
              <w:jc w:val="center"/>
              <w:rPr>
                <w:rFonts w:eastAsiaTheme="minorEastAsia"/>
                <w:b/>
                <w:color w:val="FF0000"/>
                <w:sz w:val="20"/>
                <w:szCs w:val="20"/>
                <w:highlight w:val="yellow"/>
              </w:rPr>
            </w:pPr>
            <w:r w:rsidRPr="00C55CA4">
              <w:rPr>
                <w:noProof/>
                <w:color w:val="FF0000"/>
              </w:rPr>
              <w:drawing>
                <wp:inline distT="0" distB="0" distL="0" distR="0" wp14:anchorId="1FC832EE" wp14:editId="1E7E031E">
                  <wp:extent cx="2160000" cy="2160000"/>
                  <wp:effectExtent l="0" t="0" r="0" b="0"/>
                  <wp:docPr id="8" name="Immagine 8" descr="R:\2022\GIS\Mappe_2022\Definitive\17_Basilicata\Basilicata_variazioni_lesivita_2020_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2022\GIS\Mappe_2022\Definitive\17_Basilicata\Basilicata_variazioni_lesivita_2020_202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tc>
      </w:tr>
    </w:tbl>
    <w:p w14:paraId="11EFE02F" w14:textId="77777777" w:rsidR="0095489B" w:rsidRDefault="0095489B" w:rsidP="00671EEA">
      <w:pPr>
        <w:spacing w:after="120"/>
        <w:ind w:right="27"/>
        <w:jc w:val="both"/>
        <w:rPr>
          <w:rFonts w:ascii="Arial" w:hAnsi="Arial" w:cs="Arial"/>
          <w:sz w:val="20"/>
          <w:szCs w:val="20"/>
        </w:rPr>
      </w:pPr>
    </w:p>
    <w:p w14:paraId="4C3EFA85" w14:textId="57D6EC68" w:rsidR="00463F21" w:rsidRPr="006D5EB7" w:rsidRDefault="005F66E3" w:rsidP="008A334A">
      <w:pPr>
        <w:spacing w:after="120"/>
        <w:ind w:right="27"/>
        <w:jc w:val="both"/>
        <w:rPr>
          <w:rFonts w:ascii="Arial" w:hAnsi="Arial" w:cs="Arial"/>
          <w:color w:val="FF0000"/>
          <w:sz w:val="20"/>
          <w:szCs w:val="20"/>
        </w:rPr>
      </w:pPr>
      <w:r w:rsidRPr="00B87E97">
        <w:rPr>
          <w:rFonts w:ascii="Arial" w:hAnsi="Arial" w:cs="Arial"/>
          <w:sz w:val="20"/>
          <w:szCs w:val="20"/>
        </w:rPr>
        <w:t xml:space="preserve">Nel </w:t>
      </w:r>
      <w:r w:rsidR="00F81B14" w:rsidRPr="00B87E97">
        <w:rPr>
          <w:rFonts w:ascii="Arial" w:hAnsi="Arial" w:cs="Arial"/>
          <w:sz w:val="20"/>
          <w:szCs w:val="20"/>
        </w:rPr>
        <w:t>20</w:t>
      </w:r>
      <w:r w:rsidR="0014512F" w:rsidRPr="00B87E97">
        <w:rPr>
          <w:rFonts w:ascii="Arial" w:hAnsi="Arial" w:cs="Arial"/>
          <w:sz w:val="20"/>
          <w:szCs w:val="20"/>
        </w:rPr>
        <w:t>2</w:t>
      </w:r>
      <w:r w:rsidR="002734D9">
        <w:rPr>
          <w:rFonts w:ascii="Arial" w:hAnsi="Arial" w:cs="Arial"/>
          <w:sz w:val="20"/>
          <w:szCs w:val="20"/>
        </w:rPr>
        <w:t>1</w:t>
      </w:r>
      <w:r w:rsidR="0014512F" w:rsidRPr="00B87E97">
        <w:rPr>
          <w:rFonts w:ascii="Arial" w:hAnsi="Arial" w:cs="Arial"/>
          <w:sz w:val="20"/>
          <w:szCs w:val="20"/>
        </w:rPr>
        <w:t xml:space="preserve"> </w:t>
      </w:r>
      <w:r w:rsidRPr="00B87E97">
        <w:rPr>
          <w:rFonts w:ascii="Arial" w:hAnsi="Arial" w:cs="Arial"/>
          <w:sz w:val="20"/>
          <w:szCs w:val="20"/>
        </w:rPr>
        <w:t>il maggior numero di incidenti si è verificato sulle strade urbane</w:t>
      </w:r>
      <w:r w:rsidR="008A334A">
        <w:rPr>
          <w:rFonts w:ascii="Arial" w:hAnsi="Arial" w:cs="Arial"/>
          <w:sz w:val="20"/>
          <w:szCs w:val="20"/>
        </w:rPr>
        <w:t xml:space="preserve"> </w:t>
      </w:r>
      <w:r w:rsidR="008A334A" w:rsidRPr="00B87E97">
        <w:rPr>
          <w:rFonts w:ascii="Arial" w:hAnsi="Arial" w:cs="Arial"/>
          <w:sz w:val="20"/>
          <w:szCs w:val="20"/>
        </w:rPr>
        <w:t>(</w:t>
      </w:r>
      <w:r w:rsidR="008A334A">
        <w:rPr>
          <w:rFonts w:ascii="Arial" w:hAnsi="Arial" w:cs="Arial"/>
          <w:sz w:val="20"/>
          <w:szCs w:val="20"/>
        </w:rPr>
        <w:t>56,2</w:t>
      </w:r>
      <w:r w:rsidR="008A334A" w:rsidRPr="00B87E97">
        <w:rPr>
          <w:rFonts w:ascii="Arial" w:hAnsi="Arial" w:cs="Arial"/>
          <w:sz w:val="20"/>
          <w:szCs w:val="20"/>
        </w:rPr>
        <w:t>%)</w:t>
      </w:r>
      <w:r w:rsidR="00BC5470" w:rsidRPr="00B87E97">
        <w:rPr>
          <w:rFonts w:ascii="Arial" w:hAnsi="Arial" w:cs="Arial"/>
          <w:sz w:val="20"/>
          <w:szCs w:val="20"/>
        </w:rPr>
        <w:t>,</w:t>
      </w:r>
      <w:r w:rsidRPr="00B87E97">
        <w:rPr>
          <w:rFonts w:ascii="Arial" w:hAnsi="Arial" w:cs="Arial"/>
          <w:sz w:val="20"/>
          <w:szCs w:val="20"/>
        </w:rPr>
        <w:t xml:space="preserve"> provocando </w:t>
      </w:r>
      <w:r w:rsidR="002734D9">
        <w:rPr>
          <w:rFonts w:ascii="Arial" w:hAnsi="Arial" w:cs="Arial"/>
          <w:sz w:val="20"/>
          <w:szCs w:val="20"/>
        </w:rPr>
        <w:t>7</w:t>
      </w:r>
      <w:r w:rsidR="001C2047" w:rsidRPr="00B87E97">
        <w:rPr>
          <w:rFonts w:ascii="Arial" w:hAnsi="Arial" w:cs="Arial"/>
          <w:sz w:val="20"/>
          <w:szCs w:val="20"/>
        </w:rPr>
        <w:t xml:space="preserve"> </w:t>
      </w:r>
      <w:r w:rsidRPr="00B87E97">
        <w:rPr>
          <w:rFonts w:ascii="Arial" w:hAnsi="Arial" w:cs="Arial"/>
          <w:sz w:val="20"/>
          <w:szCs w:val="20"/>
        </w:rPr>
        <w:t>morti (</w:t>
      </w:r>
      <w:r w:rsidR="002734D9">
        <w:rPr>
          <w:rFonts w:ascii="Arial" w:hAnsi="Arial" w:cs="Arial"/>
          <w:sz w:val="20"/>
          <w:szCs w:val="20"/>
        </w:rPr>
        <w:t>19,4</w:t>
      </w:r>
      <w:r w:rsidRPr="00B87E97">
        <w:rPr>
          <w:rFonts w:ascii="Arial" w:hAnsi="Arial" w:cs="Arial"/>
          <w:sz w:val="20"/>
          <w:szCs w:val="20"/>
        </w:rPr>
        <w:t xml:space="preserve">%) e </w:t>
      </w:r>
      <w:r w:rsidR="002734D9">
        <w:rPr>
          <w:rFonts w:ascii="Arial" w:hAnsi="Arial" w:cs="Arial"/>
          <w:sz w:val="20"/>
          <w:szCs w:val="20"/>
        </w:rPr>
        <w:t xml:space="preserve">710 </w:t>
      </w:r>
      <w:r w:rsidR="00A66DD5">
        <w:rPr>
          <w:rFonts w:ascii="Arial" w:hAnsi="Arial" w:cs="Arial"/>
          <w:sz w:val="20"/>
          <w:szCs w:val="20"/>
        </w:rPr>
        <w:t>feriti</w:t>
      </w:r>
      <w:r w:rsidRPr="00B87E97">
        <w:rPr>
          <w:rFonts w:ascii="Arial" w:hAnsi="Arial" w:cs="Arial"/>
          <w:sz w:val="20"/>
          <w:szCs w:val="20"/>
        </w:rPr>
        <w:t xml:space="preserve"> (</w:t>
      </w:r>
      <w:r w:rsidR="002734D9">
        <w:rPr>
          <w:rFonts w:ascii="Arial" w:hAnsi="Arial" w:cs="Arial"/>
          <w:sz w:val="20"/>
          <w:szCs w:val="20"/>
        </w:rPr>
        <w:t>53,3</w:t>
      </w:r>
      <w:r w:rsidRPr="00B87E97">
        <w:rPr>
          <w:rFonts w:ascii="Arial" w:hAnsi="Arial" w:cs="Arial"/>
          <w:sz w:val="20"/>
          <w:szCs w:val="20"/>
        </w:rPr>
        <w:t>%).</w:t>
      </w:r>
      <w:r w:rsidRPr="006D5EB7">
        <w:rPr>
          <w:rFonts w:ascii="Arial" w:hAnsi="Arial" w:cs="Arial"/>
          <w:color w:val="FF0000"/>
          <w:sz w:val="20"/>
          <w:szCs w:val="20"/>
        </w:rPr>
        <w:t xml:space="preserve"> </w:t>
      </w:r>
      <w:r w:rsidR="00150E01" w:rsidRPr="00B87E97">
        <w:rPr>
          <w:rFonts w:ascii="Arial" w:hAnsi="Arial" w:cs="Arial"/>
          <w:sz w:val="20"/>
          <w:szCs w:val="20"/>
        </w:rPr>
        <w:t xml:space="preserve">Rispetto all’anno precedente i sinistri </w:t>
      </w:r>
      <w:r w:rsidR="002734D9">
        <w:rPr>
          <w:rFonts w:ascii="Arial" w:hAnsi="Arial" w:cs="Arial"/>
          <w:sz w:val="20"/>
          <w:szCs w:val="20"/>
        </w:rPr>
        <w:t>aumentano</w:t>
      </w:r>
      <w:r w:rsidR="00834C37" w:rsidRPr="00133B91">
        <w:rPr>
          <w:rFonts w:ascii="Arial" w:hAnsi="Arial" w:cs="Arial"/>
          <w:sz w:val="20"/>
          <w:szCs w:val="20"/>
        </w:rPr>
        <w:t xml:space="preserve"> su tutte le categorie di strada</w:t>
      </w:r>
      <w:r w:rsidR="00150E01" w:rsidRPr="00133B91">
        <w:rPr>
          <w:rFonts w:ascii="Arial" w:hAnsi="Arial" w:cs="Arial"/>
          <w:sz w:val="20"/>
          <w:szCs w:val="20"/>
        </w:rPr>
        <w:t xml:space="preserve"> </w:t>
      </w:r>
      <w:r w:rsidR="00834C37" w:rsidRPr="00133B91">
        <w:rPr>
          <w:rFonts w:ascii="Arial" w:hAnsi="Arial" w:cs="Arial"/>
          <w:sz w:val="20"/>
          <w:szCs w:val="20"/>
        </w:rPr>
        <w:t xml:space="preserve">ma </w:t>
      </w:r>
      <w:r w:rsidR="002734D9">
        <w:rPr>
          <w:rFonts w:ascii="Arial" w:hAnsi="Arial" w:cs="Arial"/>
          <w:sz w:val="20"/>
          <w:szCs w:val="20"/>
        </w:rPr>
        <w:t xml:space="preserve">l’aumento </w:t>
      </w:r>
      <w:r w:rsidR="00834C37" w:rsidRPr="00133B91">
        <w:rPr>
          <w:rFonts w:ascii="Arial" w:hAnsi="Arial" w:cs="Arial"/>
          <w:sz w:val="20"/>
          <w:szCs w:val="20"/>
        </w:rPr>
        <w:t xml:space="preserve">maggiore si verifica sulle </w:t>
      </w:r>
      <w:r w:rsidR="002734D9">
        <w:rPr>
          <w:rFonts w:ascii="Arial" w:hAnsi="Arial" w:cs="Arial"/>
          <w:sz w:val="20"/>
          <w:szCs w:val="20"/>
        </w:rPr>
        <w:t>autostrade</w:t>
      </w:r>
      <w:r w:rsidR="001A7E4C" w:rsidRPr="00133B91">
        <w:rPr>
          <w:rFonts w:ascii="Arial" w:hAnsi="Arial" w:cs="Arial"/>
          <w:sz w:val="20"/>
          <w:szCs w:val="20"/>
        </w:rPr>
        <w:t xml:space="preserve"> </w:t>
      </w:r>
      <w:r w:rsidR="002734D9">
        <w:rPr>
          <w:rFonts w:ascii="Arial" w:hAnsi="Arial" w:cs="Arial"/>
          <w:sz w:val="20"/>
          <w:szCs w:val="20"/>
        </w:rPr>
        <w:t>(</w:t>
      </w:r>
      <w:r w:rsidR="00427B69">
        <w:rPr>
          <w:rFonts w:ascii="Arial" w:hAnsi="Arial" w:cs="Arial"/>
          <w:sz w:val="20"/>
          <w:szCs w:val="20"/>
        </w:rPr>
        <w:t>+</w:t>
      </w:r>
      <w:r w:rsidR="002734D9">
        <w:rPr>
          <w:rFonts w:ascii="Arial" w:hAnsi="Arial" w:cs="Arial"/>
          <w:sz w:val="20"/>
          <w:szCs w:val="20"/>
        </w:rPr>
        <w:t>5</w:t>
      </w:r>
      <w:r w:rsidR="0096591F">
        <w:rPr>
          <w:rFonts w:ascii="Arial" w:hAnsi="Arial" w:cs="Arial"/>
          <w:sz w:val="20"/>
          <w:szCs w:val="20"/>
        </w:rPr>
        <w:t>6</w:t>
      </w:r>
      <w:r w:rsidR="002734D9">
        <w:rPr>
          <w:rFonts w:ascii="Arial" w:hAnsi="Arial" w:cs="Arial"/>
          <w:sz w:val="20"/>
          <w:szCs w:val="20"/>
        </w:rPr>
        <w:t>,3</w:t>
      </w:r>
      <w:r w:rsidR="00834C37" w:rsidRPr="00133B91">
        <w:rPr>
          <w:rFonts w:ascii="Arial" w:hAnsi="Arial" w:cs="Arial"/>
          <w:sz w:val="20"/>
          <w:szCs w:val="20"/>
        </w:rPr>
        <w:t>%)</w:t>
      </w:r>
      <w:r w:rsidR="005C17C4">
        <w:rPr>
          <w:rFonts w:ascii="Arial" w:hAnsi="Arial" w:cs="Arial"/>
          <w:sz w:val="20"/>
          <w:szCs w:val="20"/>
        </w:rPr>
        <w:t>,</w:t>
      </w:r>
      <w:r w:rsidR="00834C37" w:rsidRPr="00133B91">
        <w:rPr>
          <w:rFonts w:ascii="Arial" w:hAnsi="Arial" w:cs="Arial"/>
          <w:sz w:val="20"/>
          <w:szCs w:val="20"/>
        </w:rPr>
        <w:t xml:space="preserve"> seguite dalle altre strade </w:t>
      </w:r>
      <w:r w:rsidR="002734D9">
        <w:rPr>
          <w:rFonts w:ascii="Arial" w:hAnsi="Arial" w:cs="Arial"/>
          <w:sz w:val="20"/>
          <w:szCs w:val="20"/>
        </w:rPr>
        <w:t>(</w:t>
      </w:r>
      <w:r w:rsidR="00427B69">
        <w:rPr>
          <w:rFonts w:ascii="Arial" w:hAnsi="Arial" w:cs="Arial"/>
          <w:sz w:val="20"/>
          <w:szCs w:val="20"/>
        </w:rPr>
        <w:t>+46,1</w:t>
      </w:r>
      <w:r w:rsidR="00834C37" w:rsidRPr="00133B91">
        <w:rPr>
          <w:rFonts w:ascii="Arial" w:hAnsi="Arial" w:cs="Arial"/>
          <w:sz w:val="20"/>
          <w:szCs w:val="20"/>
        </w:rPr>
        <w:t xml:space="preserve">%) e dalle strade urbane </w:t>
      </w:r>
      <w:r w:rsidR="00427B69">
        <w:rPr>
          <w:rFonts w:ascii="Arial" w:hAnsi="Arial" w:cs="Arial"/>
          <w:sz w:val="20"/>
          <w:szCs w:val="20"/>
        </w:rPr>
        <w:t>(+28,0</w:t>
      </w:r>
      <w:r w:rsidR="00834C37" w:rsidRPr="00133B91">
        <w:rPr>
          <w:rFonts w:ascii="Arial" w:hAnsi="Arial" w:cs="Arial"/>
          <w:sz w:val="20"/>
          <w:szCs w:val="20"/>
        </w:rPr>
        <w:t>%)</w:t>
      </w:r>
      <w:r w:rsidR="00661F02" w:rsidRPr="00133B91">
        <w:rPr>
          <w:rFonts w:ascii="Arial" w:hAnsi="Arial" w:cs="Arial"/>
          <w:sz w:val="20"/>
          <w:szCs w:val="20"/>
        </w:rPr>
        <w:t>.</w:t>
      </w:r>
      <w:r w:rsidR="001A7E4C" w:rsidRPr="00133B91">
        <w:rPr>
          <w:rFonts w:ascii="Arial" w:hAnsi="Arial" w:cs="Arial"/>
          <w:sz w:val="20"/>
          <w:szCs w:val="20"/>
        </w:rPr>
        <w:t xml:space="preserve"> </w:t>
      </w:r>
      <w:r w:rsidRPr="00133B91">
        <w:rPr>
          <w:rFonts w:ascii="Arial" w:hAnsi="Arial" w:cs="Arial"/>
          <w:sz w:val="20"/>
          <w:szCs w:val="20"/>
        </w:rPr>
        <w:t xml:space="preserve">Gli incidenti più gravi </w:t>
      </w:r>
      <w:r w:rsidR="00FC44DF" w:rsidRPr="00133B91">
        <w:rPr>
          <w:rFonts w:ascii="Arial" w:hAnsi="Arial" w:cs="Arial"/>
          <w:sz w:val="20"/>
          <w:szCs w:val="20"/>
        </w:rPr>
        <w:t xml:space="preserve">avvengono </w:t>
      </w:r>
      <w:bookmarkStart w:id="1" w:name="_Hlk119015960"/>
      <w:r w:rsidR="001A7E4C" w:rsidRPr="00133B91">
        <w:rPr>
          <w:rFonts w:ascii="Arial" w:hAnsi="Arial" w:cs="Arial"/>
          <w:sz w:val="20"/>
          <w:szCs w:val="20"/>
        </w:rPr>
        <w:t>su</w:t>
      </w:r>
      <w:r w:rsidR="00133B91">
        <w:rPr>
          <w:rFonts w:ascii="Arial" w:hAnsi="Arial" w:cs="Arial"/>
          <w:sz w:val="20"/>
          <w:szCs w:val="20"/>
        </w:rPr>
        <w:t xml:space="preserve">lle </w:t>
      </w:r>
      <w:r w:rsidR="00427B69">
        <w:rPr>
          <w:rFonts w:ascii="Arial" w:hAnsi="Arial" w:cs="Arial"/>
          <w:sz w:val="20"/>
          <w:szCs w:val="20"/>
        </w:rPr>
        <w:t>auto</w:t>
      </w:r>
      <w:r w:rsidR="00B8710D" w:rsidRPr="00133B91">
        <w:rPr>
          <w:rFonts w:ascii="Arial" w:hAnsi="Arial" w:cs="Arial"/>
          <w:sz w:val="20"/>
          <w:szCs w:val="20"/>
        </w:rPr>
        <w:t xml:space="preserve">strade </w:t>
      </w:r>
      <w:bookmarkEnd w:id="1"/>
      <w:r w:rsidR="00580D68" w:rsidRPr="00133B91">
        <w:rPr>
          <w:rFonts w:ascii="Arial" w:hAnsi="Arial" w:cs="Arial"/>
          <w:sz w:val="20"/>
          <w:szCs w:val="20"/>
        </w:rPr>
        <w:t>(</w:t>
      </w:r>
      <w:r w:rsidR="00427B69">
        <w:rPr>
          <w:rFonts w:ascii="Arial" w:hAnsi="Arial" w:cs="Arial"/>
          <w:sz w:val="20"/>
          <w:szCs w:val="20"/>
        </w:rPr>
        <w:t>12</w:t>
      </w:r>
      <w:r w:rsidR="00661F02" w:rsidRPr="00133B91">
        <w:rPr>
          <w:rFonts w:ascii="Arial" w:hAnsi="Arial" w:cs="Arial"/>
          <w:sz w:val="20"/>
          <w:szCs w:val="20"/>
        </w:rPr>
        <w:t xml:space="preserve"> </w:t>
      </w:r>
      <w:bookmarkStart w:id="2" w:name="_Hlk119016034"/>
      <w:r w:rsidRPr="00133B91">
        <w:rPr>
          <w:rFonts w:ascii="Arial" w:hAnsi="Arial" w:cs="Arial"/>
          <w:sz w:val="20"/>
          <w:szCs w:val="20"/>
        </w:rPr>
        <w:t>decessi ogni 100 incidenti</w:t>
      </w:r>
      <w:r w:rsidR="00580D68" w:rsidRPr="00133B91">
        <w:rPr>
          <w:rFonts w:ascii="Arial" w:hAnsi="Arial" w:cs="Arial"/>
          <w:sz w:val="20"/>
          <w:szCs w:val="20"/>
        </w:rPr>
        <w:t>)</w:t>
      </w:r>
      <w:bookmarkEnd w:id="2"/>
      <w:r w:rsidR="00427B69">
        <w:rPr>
          <w:rFonts w:ascii="Arial" w:hAnsi="Arial" w:cs="Arial"/>
          <w:sz w:val="20"/>
          <w:szCs w:val="20"/>
        </w:rPr>
        <w:t xml:space="preserve"> e </w:t>
      </w:r>
      <w:r w:rsidR="00427B69" w:rsidRPr="00133B91">
        <w:rPr>
          <w:rFonts w:ascii="Arial" w:hAnsi="Arial" w:cs="Arial"/>
          <w:sz w:val="20"/>
          <w:szCs w:val="20"/>
        </w:rPr>
        <w:t>su</w:t>
      </w:r>
      <w:r w:rsidR="00427B69">
        <w:rPr>
          <w:rFonts w:ascii="Arial" w:hAnsi="Arial" w:cs="Arial"/>
          <w:sz w:val="20"/>
          <w:szCs w:val="20"/>
        </w:rPr>
        <w:t xml:space="preserve">lle </w:t>
      </w:r>
      <w:r w:rsidR="00427B69" w:rsidRPr="00133B91">
        <w:rPr>
          <w:rFonts w:ascii="Arial" w:hAnsi="Arial" w:cs="Arial"/>
          <w:sz w:val="20"/>
          <w:szCs w:val="20"/>
        </w:rPr>
        <w:t>strade extraurbane</w:t>
      </w:r>
      <w:r w:rsidR="00427B69">
        <w:rPr>
          <w:rFonts w:ascii="Arial" w:hAnsi="Arial" w:cs="Arial"/>
          <w:sz w:val="20"/>
          <w:szCs w:val="20"/>
        </w:rPr>
        <w:t xml:space="preserve"> (6,9 </w:t>
      </w:r>
      <w:r w:rsidR="00427B69" w:rsidRPr="00133B91">
        <w:rPr>
          <w:rFonts w:ascii="Arial" w:hAnsi="Arial" w:cs="Arial"/>
          <w:sz w:val="20"/>
          <w:szCs w:val="20"/>
        </w:rPr>
        <w:t>decessi ogni 100 incidenti)</w:t>
      </w:r>
      <w:r w:rsidR="00427B69">
        <w:rPr>
          <w:rFonts w:ascii="Arial" w:hAnsi="Arial" w:cs="Arial"/>
          <w:sz w:val="20"/>
          <w:szCs w:val="20"/>
        </w:rPr>
        <w:t>.</w:t>
      </w:r>
    </w:p>
    <w:p w14:paraId="271D9EBA" w14:textId="762C7DB8" w:rsidR="00607777" w:rsidRDefault="003D3D70" w:rsidP="00671EEA">
      <w:pPr>
        <w:spacing w:after="120"/>
        <w:ind w:right="27"/>
        <w:jc w:val="both"/>
        <w:rPr>
          <w:rFonts w:ascii="Arial" w:hAnsi="Arial" w:cs="Arial"/>
          <w:sz w:val="20"/>
          <w:szCs w:val="20"/>
        </w:rPr>
      </w:pPr>
      <w:r w:rsidRPr="001C6BFB">
        <w:rPr>
          <w:rStyle w:val="apple-style-span"/>
          <w:rFonts w:ascii="Arial" w:hAnsi="Arial" w:cs="Arial"/>
          <w:color w:val="000000" w:themeColor="text1"/>
          <w:sz w:val="20"/>
          <w:szCs w:val="20"/>
        </w:rPr>
        <w:t xml:space="preserve">Sulle strade urbane il </w:t>
      </w:r>
      <w:r w:rsidR="00B8710D">
        <w:rPr>
          <w:rStyle w:val="apple-style-span"/>
          <w:rFonts w:ascii="Arial" w:hAnsi="Arial" w:cs="Arial"/>
          <w:color w:val="000000" w:themeColor="text1"/>
          <w:sz w:val="20"/>
          <w:szCs w:val="20"/>
        </w:rPr>
        <w:t>44,</w:t>
      </w:r>
      <w:r w:rsidR="00427B69">
        <w:rPr>
          <w:rStyle w:val="apple-style-span"/>
          <w:rFonts w:ascii="Arial" w:hAnsi="Arial" w:cs="Arial"/>
          <w:color w:val="000000" w:themeColor="text1"/>
          <w:sz w:val="20"/>
          <w:szCs w:val="20"/>
        </w:rPr>
        <w:t>4</w:t>
      </w:r>
      <w:r w:rsidRPr="001C6BFB">
        <w:rPr>
          <w:rStyle w:val="apple-style-span"/>
          <w:rFonts w:ascii="Arial" w:hAnsi="Arial" w:cs="Arial"/>
          <w:color w:val="000000" w:themeColor="text1"/>
          <w:sz w:val="20"/>
          <w:szCs w:val="20"/>
        </w:rPr>
        <w:t>% d</w:t>
      </w:r>
      <w:r w:rsidR="00AA67B7" w:rsidRPr="001C6BFB">
        <w:rPr>
          <w:rStyle w:val="apple-style-span"/>
          <w:rFonts w:ascii="Arial" w:hAnsi="Arial" w:cs="Arial"/>
          <w:color w:val="000000" w:themeColor="text1"/>
          <w:sz w:val="20"/>
          <w:szCs w:val="20"/>
        </w:rPr>
        <w:t xml:space="preserve">ei sinistri stradali </w:t>
      </w:r>
      <w:r w:rsidR="00B8710D">
        <w:rPr>
          <w:rStyle w:val="apple-style-span"/>
          <w:rFonts w:ascii="Arial" w:hAnsi="Arial" w:cs="Arial"/>
          <w:color w:val="000000" w:themeColor="text1"/>
          <w:sz w:val="20"/>
          <w:szCs w:val="20"/>
        </w:rPr>
        <w:t>avviene lungo un rettilineo</w:t>
      </w:r>
      <w:r w:rsidR="00404027">
        <w:rPr>
          <w:rStyle w:val="apple-style-span"/>
          <w:rFonts w:ascii="Arial" w:hAnsi="Arial" w:cs="Arial"/>
          <w:color w:val="000000" w:themeColor="text1"/>
          <w:sz w:val="20"/>
          <w:szCs w:val="20"/>
        </w:rPr>
        <w:t>; sulle</w:t>
      </w:r>
      <w:r w:rsidRPr="00A84477">
        <w:rPr>
          <w:rStyle w:val="apple-style-span"/>
          <w:rFonts w:ascii="Arial" w:hAnsi="Arial" w:cs="Arial"/>
          <w:color w:val="000000" w:themeColor="text1"/>
          <w:sz w:val="20"/>
          <w:szCs w:val="20"/>
        </w:rPr>
        <w:t xml:space="preserve"> strade extraurbane tale percentuale </w:t>
      </w:r>
      <w:r w:rsidR="00857A70">
        <w:rPr>
          <w:rStyle w:val="apple-style-span"/>
          <w:rFonts w:ascii="Arial" w:hAnsi="Arial" w:cs="Arial"/>
          <w:color w:val="000000" w:themeColor="text1"/>
          <w:sz w:val="20"/>
          <w:szCs w:val="20"/>
        </w:rPr>
        <w:t>sale</w:t>
      </w:r>
      <w:r w:rsidR="00A84477" w:rsidRPr="00A84477">
        <w:rPr>
          <w:rStyle w:val="apple-style-span"/>
          <w:rFonts w:ascii="Arial" w:hAnsi="Arial" w:cs="Arial"/>
          <w:color w:val="000000" w:themeColor="text1"/>
          <w:sz w:val="20"/>
          <w:szCs w:val="20"/>
        </w:rPr>
        <w:t xml:space="preserve"> </w:t>
      </w:r>
      <w:r w:rsidRPr="00A84477">
        <w:rPr>
          <w:rStyle w:val="apple-style-span"/>
          <w:rFonts w:ascii="Arial" w:hAnsi="Arial" w:cs="Arial"/>
          <w:color w:val="000000" w:themeColor="text1"/>
          <w:sz w:val="20"/>
          <w:szCs w:val="20"/>
        </w:rPr>
        <w:t>al</w:t>
      </w:r>
      <w:r w:rsidR="00404027">
        <w:rPr>
          <w:rStyle w:val="apple-style-span"/>
          <w:rFonts w:ascii="Arial" w:hAnsi="Arial" w:cs="Arial"/>
          <w:color w:val="000000" w:themeColor="text1"/>
          <w:sz w:val="20"/>
          <w:szCs w:val="20"/>
        </w:rPr>
        <w:t xml:space="preserve"> </w:t>
      </w:r>
      <w:r w:rsidR="00427B69">
        <w:rPr>
          <w:rStyle w:val="apple-style-span"/>
          <w:rFonts w:ascii="Arial" w:hAnsi="Arial" w:cs="Arial"/>
          <w:color w:val="000000" w:themeColor="text1"/>
          <w:sz w:val="20"/>
          <w:szCs w:val="20"/>
        </w:rPr>
        <w:t>47,5</w:t>
      </w:r>
      <w:r w:rsidRPr="00A84477">
        <w:rPr>
          <w:rStyle w:val="apple-style-span"/>
          <w:rFonts w:ascii="Arial" w:hAnsi="Arial" w:cs="Arial"/>
          <w:color w:val="000000" w:themeColor="text1"/>
          <w:sz w:val="20"/>
          <w:szCs w:val="20"/>
        </w:rPr>
        <w:t xml:space="preserve">%. </w:t>
      </w:r>
      <w:r w:rsidRPr="001C6BFB">
        <w:rPr>
          <w:rStyle w:val="apple-style-span"/>
          <w:rFonts w:ascii="Arial" w:hAnsi="Arial" w:cs="Arial"/>
          <w:color w:val="000000" w:themeColor="text1"/>
          <w:sz w:val="20"/>
          <w:szCs w:val="20"/>
        </w:rPr>
        <w:t xml:space="preserve">In </w:t>
      </w:r>
      <w:r w:rsidR="009F5D5D" w:rsidRPr="001C6BFB">
        <w:rPr>
          <w:rStyle w:val="apple-style-span"/>
          <w:rFonts w:ascii="Arial" w:hAnsi="Arial" w:cs="Arial"/>
          <w:color w:val="000000" w:themeColor="text1"/>
          <w:sz w:val="20"/>
          <w:szCs w:val="20"/>
        </w:rPr>
        <w:t>ambito urbano</w:t>
      </w:r>
      <w:r w:rsidR="00607777" w:rsidRPr="001C6BFB">
        <w:rPr>
          <w:rStyle w:val="apple-style-span"/>
          <w:rFonts w:ascii="Arial" w:hAnsi="Arial" w:cs="Arial"/>
          <w:color w:val="000000" w:themeColor="text1"/>
          <w:sz w:val="20"/>
          <w:szCs w:val="20"/>
        </w:rPr>
        <w:t xml:space="preserve"> gli incidenti </w:t>
      </w:r>
      <w:r w:rsidR="0095489B">
        <w:rPr>
          <w:rStyle w:val="apple-style-span"/>
          <w:rFonts w:ascii="Arial" w:hAnsi="Arial" w:cs="Arial"/>
          <w:color w:val="000000" w:themeColor="text1"/>
          <w:sz w:val="20"/>
          <w:szCs w:val="20"/>
        </w:rPr>
        <w:t>rilevati in corrispondenza de</w:t>
      </w:r>
      <w:r w:rsidR="00404027">
        <w:rPr>
          <w:rStyle w:val="apple-style-span"/>
          <w:rFonts w:ascii="Arial" w:hAnsi="Arial" w:cs="Arial"/>
          <w:color w:val="000000" w:themeColor="text1"/>
          <w:sz w:val="20"/>
          <w:szCs w:val="20"/>
        </w:rPr>
        <w:t xml:space="preserve">gli incroci </w:t>
      </w:r>
      <w:r w:rsidR="00AA67B7" w:rsidRPr="001C6BFB">
        <w:rPr>
          <w:rStyle w:val="apple-style-span"/>
          <w:rFonts w:ascii="Arial" w:hAnsi="Arial" w:cs="Arial"/>
          <w:color w:val="000000" w:themeColor="text1"/>
          <w:sz w:val="20"/>
          <w:szCs w:val="20"/>
        </w:rPr>
        <w:t xml:space="preserve">rappresentano il </w:t>
      </w:r>
      <w:r w:rsidR="00427B69">
        <w:rPr>
          <w:rStyle w:val="apple-style-span"/>
          <w:rFonts w:ascii="Arial" w:hAnsi="Arial" w:cs="Arial"/>
          <w:color w:val="000000" w:themeColor="text1"/>
          <w:sz w:val="20"/>
          <w:szCs w:val="20"/>
        </w:rPr>
        <w:t>19,4</w:t>
      </w:r>
      <w:r w:rsidR="00AA67B7" w:rsidRPr="001C6BFB">
        <w:rPr>
          <w:rStyle w:val="apple-style-span"/>
          <w:rFonts w:ascii="Arial" w:hAnsi="Arial" w:cs="Arial"/>
          <w:color w:val="000000" w:themeColor="text1"/>
          <w:sz w:val="20"/>
          <w:szCs w:val="20"/>
        </w:rPr>
        <w:t xml:space="preserve">% del totale, seguono quelli che </w:t>
      </w:r>
      <w:r w:rsidR="00607777" w:rsidRPr="001C6BFB">
        <w:rPr>
          <w:rStyle w:val="apple-style-span"/>
          <w:rFonts w:ascii="Arial" w:hAnsi="Arial" w:cs="Arial"/>
          <w:color w:val="000000" w:themeColor="text1"/>
          <w:sz w:val="20"/>
          <w:szCs w:val="20"/>
        </w:rPr>
        <w:t xml:space="preserve">si verificano </w:t>
      </w:r>
      <w:r w:rsidR="00404027">
        <w:rPr>
          <w:rStyle w:val="apple-style-span"/>
          <w:rFonts w:ascii="Arial" w:hAnsi="Arial" w:cs="Arial"/>
          <w:color w:val="000000" w:themeColor="text1"/>
          <w:sz w:val="20"/>
          <w:szCs w:val="20"/>
        </w:rPr>
        <w:t>in curva (</w:t>
      </w:r>
      <w:r w:rsidR="00427B69">
        <w:rPr>
          <w:rStyle w:val="apple-style-span"/>
          <w:rFonts w:ascii="Arial" w:hAnsi="Arial" w:cs="Arial"/>
          <w:color w:val="000000" w:themeColor="text1"/>
          <w:sz w:val="20"/>
          <w:szCs w:val="20"/>
        </w:rPr>
        <w:t>12,4</w:t>
      </w:r>
      <w:r w:rsidR="00404027">
        <w:rPr>
          <w:rStyle w:val="apple-style-span"/>
          <w:rFonts w:ascii="Arial" w:hAnsi="Arial" w:cs="Arial"/>
          <w:color w:val="000000" w:themeColor="text1"/>
          <w:sz w:val="20"/>
          <w:szCs w:val="20"/>
        </w:rPr>
        <w:t xml:space="preserve">%) </w:t>
      </w:r>
      <w:r w:rsidR="00943561">
        <w:rPr>
          <w:rStyle w:val="apple-style-span"/>
          <w:rFonts w:ascii="Arial" w:hAnsi="Arial" w:cs="Arial"/>
          <w:color w:val="000000" w:themeColor="text1"/>
          <w:sz w:val="20"/>
          <w:szCs w:val="20"/>
        </w:rPr>
        <w:t>o</w:t>
      </w:r>
      <w:r w:rsidR="00404027">
        <w:rPr>
          <w:rStyle w:val="apple-style-span"/>
          <w:rFonts w:ascii="Arial" w:hAnsi="Arial" w:cs="Arial"/>
          <w:color w:val="000000" w:themeColor="text1"/>
          <w:sz w:val="20"/>
          <w:szCs w:val="20"/>
        </w:rPr>
        <w:t xml:space="preserve"> </w:t>
      </w:r>
      <w:r w:rsidR="00D62BC5" w:rsidRPr="001C6BFB">
        <w:rPr>
          <w:rStyle w:val="apple-style-span"/>
          <w:rFonts w:ascii="Arial" w:hAnsi="Arial" w:cs="Arial"/>
          <w:color w:val="000000" w:themeColor="text1"/>
          <w:sz w:val="20"/>
          <w:szCs w:val="20"/>
        </w:rPr>
        <w:t xml:space="preserve">nei pressi di </w:t>
      </w:r>
      <w:r w:rsidR="00D62BC5" w:rsidRPr="00FF5476">
        <w:rPr>
          <w:rStyle w:val="apple-style-span"/>
          <w:rFonts w:ascii="Arial" w:hAnsi="Arial" w:cs="Arial"/>
          <w:color w:val="000000" w:themeColor="text1"/>
          <w:sz w:val="20"/>
          <w:szCs w:val="20"/>
        </w:rPr>
        <w:t xml:space="preserve">una intersezione </w:t>
      </w:r>
      <w:r w:rsidR="00AA67B7" w:rsidRPr="00FF5476">
        <w:rPr>
          <w:rStyle w:val="apple-style-span"/>
          <w:rFonts w:ascii="Arial" w:hAnsi="Arial" w:cs="Arial"/>
          <w:color w:val="000000" w:themeColor="text1"/>
          <w:sz w:val="20"/>
          <w:szCs w:val="20"/>
        </w:rPr>
        <w:t>(</w:t>
      </w:r>
      <w:r w:rsidR="00427B69" w:rsidRPr="00FF5476">
        <w:rPr>
          <w:rStyle w:val="apple-style-span"/>
          <w:rFonts w:ascii="Arial" w:hAnsi="Arial" w:cs="Arial"/>
          <w:color w:val="000000" w:themeColor="text1"/>
          <w:sz w:val="20"/>
          <w:szCs w:val="20"/>
        </w:rPr>
        <w:t>11,6</w:t>
      </w:r>
      <w:r w:rsidR="00D62BC5" w:rsidRPr="00FF5476">
        <w:rPr>
          <w:rStyle w:val="apple-style-span"/>
          <w:rFonts w:ascii="Arial" w:hAnsi="Arial" w:cs="Arial"/>
          <w:color w:val="000000" w:themeColor="text1"/>
          <w:sz w:val="20"/>
          <w:szCs w:val="20"/>
        </w:rPr>
        <w:t>%)</w:t>
      </w:r>
      <w:r w:rsidR="00943561" w:rsidRPr="00FF5476">
        <w:rPr>
          <w:rStyle w:val="apple-style-span"/>
          <w:rFonts w:ascii="Arial" w:hAnsi="Arial" w:cs="Arial"/>
          <w:color w:val="000000" w:themeColor="text1"/>
          <w:sz w:val="20"/>
          <w:szCs w:val="20"/>
        </w:rPr>
        <w:t xml:space="preserve">. </w:t>
      </w:r>
      <w:r w:rsidR="00731050" w:rsidRPr="00FF5476">
        <w:rPr>
          <w:rStyle w:val="apple-style-span"/>
          <w:rFonts w:ascii="Arial" w:hAnsi="Arial" w:cs="Arial"/>
          <w:color w:val="000000" w:themeColor="text1"/>
          <w:sz w:val="20"/>
          <w:szCs w:val="20"/>
        </w:rPr>
        <w:t xml:space="preserve">Lungo le </w:t>
      </w:r>
      <w:r w:rsidR="003A1648" w:rsidRPr="00FF5476">
        <w:rPr>
          <w:rStyle w:val="apple-style-span"/>
          <w:rFonts w:ascii="Arial" w:hAnsi="Arial" w:cs="Arial"/>
          <w:color w:val="000000" w:themeColor="text1"/>
          <w:sz w:val="20"/>
          <w:szCs w:val="20"/>
        </w:rPr>
        <w:t xml:space="preserve">strade extraurbane il </w:t>
      </w:r>
      <w:r w:rsidR="00427B69" w:rsidRPr="00FF5476">
        <w:rPr>
          <w:rStyle w:val="apple-style-span"/>
          <w:rFonts w:ascii="Arial" w:hAnsi="Arial" w:cs="Arial"/>
          <w:color w:val="000000" w:themeColor="text1"/>
          <w:sz w:val="20"/>
          <w:szCs w:val="20"/>
        </w:rPr>
        <w:t>38,3</w:t>
      </w:r>
      <w:r w:rsidR="00A84477" w:rsidRPr="00FF5476">
        <w:rPr>
          <w:rStyle w:val="apple-style-span"/>
          <w:rFonts w:ascii="Arial" w:hAnsi="Arial" w:cs="Arial"/>
          <w:color w:val="000000" w:themeColor="text1"/>
          <w:sz w:val="20"/>
          <w:szCs w:val="20"/>
        </w:rPr>
        <w:t xml:space="preserve">% </w:t>
      </w:r>
      <w:r w:rsidR="00607777" w:rsidRPr="00FF5476">
        <w:rPr>
          <w:rStyle w:val="apple-style-span"/>
          <w:rFonts w:ascii="Arial" w:hAnsi="Arial" w:cs="Arial"/>
          <w:color w:val="000000" w:themeColor="text1"/>
          <w:sz w:val="20"/>
          <w:szCs w:val="20"/>
        </w:rPr>
        <w:t>degli incidenti si verifica in curva</w:t>
      </w:r>
      <w:r w:rsidR="00A84477" w:rsidRPr="00FF5476">
        <w:rPr>
          <w:rStyle w:val="apple-style-span"/>
          <w:rFonts w:ascii="Arial" w:hAnsi="Arial" w:cs="Arial"/>
          <w:color w:val="000000" w:themeColor="text1"/>
          <w:sz w:val="20"/>
          <w:szCs w:val="20"/>
        </w:rPr>
        <w:t xml:space="preserve"> e il </w:t>
      </w:r>
      <w:r w:rsidR="00943561" w:rsidRPr="00FF5476">
        <w:rPr>
          <w:rStyle w:val="apple-style-span"/>
          <w:rFonts w:ascii="Arial" w:hAnsi="Arial" w:cs="Arial"/>
          <w:color w:val="000000" w:themeColor="text1"/>
          <w:sz w:val="20"/>
          <w:szCs w:val="20"/>
        </w:rPr>
        <w:t>6,</w:t>
      </w:r>
      <w:r w:rsidR="00427B69" w:rsidRPr="00FF5476">
        <w:rPr>
          <w:rStyle w:val="apple-style-span"/>
          <w:rFonts w:ascii="Arial" w:hAnsi="Arial" w:cs="Arial"/>
          <w:color w:val="000000" w:themeColor="text1"/>
          <w:sz w:val="20"/>
          <w:szCs w:val="20"/>
        </w:rPr>
        <w:t>0</w:t>
      </w:r>
      <w:r w:rsidR="00A84477" w:rsidRPr="00FF5476">
        <w:rPr>
          <w:rStyle w:val="apple-style-span"/>
          <w:rFonts w:ascii="Arial" w:hAnsi="Arial" w:cs="Arial"/>
          <w:color w:val="000000" w:themeColor="text1"/>
          <w:sz w:val="20"/>
          <w:szCs w:val="20"/>
        </w:rPr>
        <w:t>%</w:t>
      </w:r>
      <w:r w:rsidR="00607777" w:rsidRPr="00FF5476">
        <w:rPr>
          <w:rStyle w:val="apple-style-span"/>
          <w:rFonts w:ascii="Arial" w:hAnsi="Arial" w:cs="Arial"/>
          <w:color w:val="000000" w:themeColor="text1"/>
          <w:sz w:val="20"/>
          <w:szCs w:val="20"/>
        </w:rPr>
        <w:t xml:space="preserve"> </w:t>
      </w:r>
      <w:r w:rsidR="00AA67B7" w:rsidRPr="00FF5476">
        <w:rPr>
          <w:rStyle w:val="apple-style-span"/>
          <w:rFonts w:ascii="Arial" w:hAnsi="Arial" w:cs="Arial"/>
          <w:color w:val="000000" w:themeColor="text1"/>
          <w:sz w:val="20"/>
          <w:szCs w:val="20"/>
        </w:rPr>
        <w:t xml:space="preserve">nei pressi di </w:t>
      </w:r>
      <w:r w:rsidR="00E20EB8" w:rsidRPr="00FF5476">
        <w:rPr>
          <w:rStyle w:val="apple-style-span"/>
          <w:rFonts w:ascii="Arial" w:hAnsi="Arial" w:cs="Arial"/>
          <w:color w:val="000000" w:themeColor="text1"/>
          <w:sz w:val="20"/>
          <w:szCs w:val="20"/>
        </w:rPr>
        <w:t>un</w:t>
      </w:r>
      <w:r w:rsidR="00A84477" w:rsidRPr="00FF5476">
        <w:rPr>
          <w:rStyle w:val="apple-style-span"/>
          <w:rFonts w:ascii="Arial" w:hAnsi="Arial" w:cs="Arial"/>
          <w:color w:val="000000" w:themeColor="text1"/>
          <w:sz w:val="20"/>
          <w:szCs w:val="20"/>
        </w:rPr>
        <w:t>’intersezione</w:t>
      </w:r>
      <w:r w:rsidR="00AA67B7" w:rsidRPr="00FF5476">
        <w:rPr>
          <w:rStyle w:val="apple-style-span"/>
          <w:rFonts w:ascii="Arial" w:hAnsi="Arial" w:cs="Arial"/>
          <w:color w:val="000000" w:themeColor="text1"/>
          <w:sz w:val="20"/>
          <w:szCs w:val="20"/>
        </w:rPr>
        <w:t xml:space="preserve"> </w:t>
      </w:r>
      <w:r w:rsidR="00464F79" w:rsidRPr="00FF5476">
        <w:rPr>
          <w:rFonts w:ascii="Arial" w:hAnsi="Arial" w:cs="Arial"/>
          <w:sz w:val="20"/>
          <w:szCs w:val="20"/>
        </w:rPr>
        <w:t>(</w:t>
      </w:r>
      <w:r w:rsidR="00464F79" w:rsidRPr="00FF5476">
        <w:rPr>
          <w:rStyle w:val="apple-style-span"/>
          <w:rFonts w:ascii="Arial" w:hAnsi="Arial" w:cs="Arial"/>
          <w:sz w:val="20"/>
          <w:szCs w:val="20"/>
        </w:rPr>
        <w:t>Figura 4 e Cartogramm</w:t>
      </w:r>
      <w:r w:rsidR="007813B1" w:rsidRPr="00FF5476">
        <w:rPr>
          <w:rStyle w:val="apple-style-span"/>
          <w:rFonts w:ascii="Arial" w:hAnsi="Arial" w:cs="Arial"/>
          <w:sz w:val="20"/>
          <w:szCs w:val="20"/>
        </w:rPr>
        <w:t>i in allegato</w:t>
      </w:r>
      <w:r w:rsidR="00464F79" w:rsidRPr="00FF5476">
        <w:rPr>
          <w:rFonts w:ascii="Arial" w:hAnsi="Arial" w:cs="Arial"/>
          <w:sz w:val="20"/>
          <w:szCs w:val="20"/>
        </w:rPr>
        <w:t>).</w:t>
      </w:r>
    </w:p>
    <w:p w14:paraId="23DFE0C6" w14:textId="77777777" w:rsidR="005C17C4" w:rsidRPr="00AC5BCF" w:rsidRDefault="005C17C4" w:rsidP="00671EEA">
      <w:pPr>
        <w:spacing w:after="120"/>
        <w:ind w:right="27"/>
        <w:jc w:val="both"/>
        <w:rPr>
          <w:rFonts w:ascii="Arial" w:hAnsi="Arial" w:cs="Arial"/>
          <w:sz w:val="8"/>
          <w:szCs w:val="8"/>
        </w:rPr>
      </w:pPr>
    </w:p>
    <w:p w14:paraId="7981599B" w14:textId="44AD67E1" w:rsidR="00985B52" w:rsidRPr="00485547" w:rsidRDefault="00CD0DD9" w:rsidP="00AC5BCF">
      <w:pPr>
        <w:jc w:val="both"/>
        <w:rPr>
          <w:rFonts w:ascii="Arial Narrow" w:hAnsi="Arial Narrow" w:cs="Arial"/>
          <w:sz w:val="19"/>
          <w:szCs w:val="19"/>
          <w:vertAlign w:val="superscript"/>
        </w:rPr>
      </w:pPr>
      <w:r w:rsidRPr="00671EEA">
        <w:rPr>
          <w:rFonts w:ascii="Arial Narrow" w:hAnsi="Arial Narrow" w:cs="Arial"/>
          <w:b/>
          <w:color w:val="808080" w:themeColor="background1" w:themeShade="80"/>
          <w:sz w:val="20"/>
          <w:szCs w:val="20"/>
        </w:rPr>
        <w:t>FIGURA 4</w:t>
      </w:r>
      <w:r w:rsidR="000D5768" w:rsidRPr="00671EEA">
        <w:rPr>
          <w:rFonts w:ascii="Arial Narrow" w:hAnsi="Arial Narrow" w:cs="Arial"/>
          <w:b/>
          <w:color w:val="808080" w:themeColor="background1" w:themeShade="80"/>
          <w:sz w:val="20"/>
          <w:szCs w:val="20"/>
        </w:rPr>
        <w:t>. INCIDENTI STRADALI CON LESIONI A PERSONE PER CARATTERISTICA DELLA STRADA E AMBITO STRADALE,</w:t>
      </w:r>
      <w:r w:rsidR="00985175" w:rsidRPr="00671EEA">
        <w:rPr>
          <w:rFonts w:ascii="Arial Narrow" w:hAnsi="Arial Narrow" w:cs="Arial"/>
          <w:b/>
          <w:color w:val="808080" w:themeColor="background1" w:themeShade="80"/>
          <w:sz w:val="20"/>
          <w:szCs w:val="20"/>
        </w:rPr>
        <w:t xml:space="preserve"> </w:t>
      </w:r>
      <w:r w:rsidR="00A1310C">
        <w:rPr>
          <w:rFonts w:ascii="Arial Narrow" w:hAnsi="Arial Narrow" w:cs="Arial"/>
          <w:b/>
          <w:bCs/>
          <w:iCs/>
          <w:caps/>
          <w:color w:val="808080" w:themeColor="background1" w:themeShade="80"/>
          <w:sz w:val="20"/>
          <w:szCs w:val="20"/>
        </w:rPr>
        <w:t>BASILICATA</w:t>
      </w:r>
      <w:r w:rsidR="00F26B57" w:rsidRPr="00671EEA">
        <w:rPr>
          <w:rFonts w:ascii="Arial Narrow" w:hAnsi="Arial Narrow" w:cs="Arial"/>
          <w:b/>
          <w:bCs/>
          <w:iCs/>
          <w:caps/>
          <w:color w:val="808080" w:themeColor="background1" w:themeShade="80"/>
          <w:sz w:val="20"/>
          <w:szCs w:val="20"/>
        </w:rPr>
        <w:t>.</w:t>
      </w:r>
      <w:r w:rsidR="000D5768" w:rsidRPr="00671EEA">
        <w:rPr>
          <w:rFonts w:ascii="Arial Narrow" w:hAnsi="Arial Narrow" w:cs="Arial"/>
          <w:color w:val="808080" w:themeColor="background1" w:themeShade="80"/>
          <w:sz w:val="19"/>
          <w:szCs w:val="19"/>
        </w:rPr>
        <w:t xml:space="preserve"> </w:t>
      </w:r>
      <w:r w:rsidR="000D5768" w:rsidRPr="00485547">
        <w:rPr>
          <w:rFonts w:ascii="Arial Narrow" w:hAnsi="Arial Narrow" w:cs="Arial"/>
          <w:sz w:val="19"/>
          <w:szCs w:val="19"/>
        </w:rPr>
        <w:t xml:space="preserve">Anno </w:t>
      </w:r>
      <w:r w:rsidR="000F44BE" w:rsidRPr="00485547">
        <w:rPr>
          <w:rFonts w:ascii="Arial Narrow" w:hAnsi="Arial Narrow" w:cs="Arial"/>
          <w:sz w:val="19"/>
          <w:szCs w:val="19"/>
        </w:rPr>
        <w:t>20</w:t>
      </w:r>
      <w:r w:rsidR="00CA1EB3" w:rsidRPr="00485547">
        <w:rPr>
          <w:rFonts w:ascii="Arial Narrow" w:hAnsi="Arial Narrow" w:cs="Arial"/>
          <w:sz w:val="19"/>
          <w:szCs w:val="19"/>
        </w:rPr>
        <w:t>2</w:t>
      </w:r>
      <w:r w:rsidR="0058258F">
        <w:rPr>
          <w:rFonts w:ascii="Arial Narrow" w:hAnsi="Arial Narrow" w:cs="Arial"/>
          <w:sz w:val="19"/>
          <w:szCs w:val="19"/>
        </w:rPr>
        <w:t>1</w:t>
      </w:r>
      <w:r w:rsidR="000D5768" w:rsidRPr="00485547">
        <w:rPr>
          <w:rFonts w:ascii="Arial Narrow" w:hAnsi="Arial Narrow" w:cs="Arial"/>
          <w:sz w:val="19"/>
          <w:szCs w:val="19"/>
        </w:rPr>
        <w:t>, valori percentuali</w:t>
      </w:r>
      <w:r w:rsidR="00580D68" w:rsidRPr="00485547">
        <w:rPr>
          <w:rFonts w:ascii="Arial Narrow" w:hAnsi="Arial Narrow" w:cs="Arial"/>
          <w:sz w:val="19"/>
          <w:szCs w:val="19"/>
          <w:vertAlign w:val="superscript"/>
        </w:rPr>
        <w:t>(</w:t>
      </w:r>
      <w:r w:rsidR="00CD11A2" w:rsidRPr="00485547">
        <w:rPr>
          <w:rFonts w:ascii="Arial Narrow" w:hAnsi="Arial Narrow" w:cs="Arial"/>
          <w:sz w:val="19"/>
          <w:szCs w:val="19"/>
          <w:vertAlign w:val="superscript"/>
        </w:rPr>
        <w:t>a</w:t>
      </w:r>
      <w:r w:rsidR="00580D68" w:rsidRPr="00485547">
        <w:rPr>
          <w:rFonts w:ascii="Arial Narrow" w:hAnsi="Arial Narrow" w:cs="Arial"/>
          <w:sz w:val="19"/>
          <w:szCs w:val="19"/>
          <w:vertAlign w:val="superscript"/>
        </w:rPr>
        <w:t>)</w:t>
      </w:r>
    </w:p>
    <w:tbl>
      <w:tblPr>
        <w:tblStyle w:val="Grigliatabella"/>
        <w:tblpPr w:leftFromText="141" w:rightFromText="141" w:vertAnchor="text" w:tblpX="-34" w:tblpY="1"/>
        <w:tblOverlap w:val="never"/>
        <w:tblW w:w="10206" w:type="dxa"/>
        <w:tblBorders>
          <w:left w:val="none" w:sz="0" w:space="0" w:color="auto"/>
          <w:right w:val="none" w:sz="0" w:space="0" w:color="auto"/>
          <w:insideV w:val="none" w:sz="0" w:space="0" w:color="auto"/>
        </w:tblBorders>
        <w:tblCellMar>
          <w:left w:w="70" w:type="dxa"/>
          <w:right w:w="70" w:type="dxa"/>
        </w:tblCellMar>
        <w:tblLook w:val="04A0" w:firstRow="1" w:lastRow="0" w:firstColumn="1" w:lastColumn="0" w:noHBand="0" w:noVBand="1"/>
      </w:tblPr>
      <w:tblGrid>
        <w:gridCol w:w="5270"/>
        <w:gridCol w:w="5015"/>
      </w:tblGrid>
      <w:tr w:rsidR="009B00C4" w:rsidRPr="009B00C4" w14:paraId="0089DD47" w14:textId="77777777" w:rsidTr="00B23BCD">
        <w:trPr>
          <w:trHeight w:val="2967"/>
        </w:trPr>
        <w:tc>
          <w:tcPr>
            <w:tcW w:w="5372" w:type="dxa"/>
          </w:tcPr>
          <w:p w14:paraId="72579ABF" w14:textId="368089AB" w:rsidR="004619C5" w:rsidRPr="009B00C4" w:rsidRDefault="001769D4" w:rsidP="00671EEA">
            <w:pPr>
              <w:jc w:val="center"/>
              <w:rPr>
                <w:rFonts w:ascii="Arial Narrow" w:hAnsi="Arial Narrow" w:cs="Arial"/>
                <w:color w:val="FF0000"/>
                <w:sz w:val="19"/>
                <w:szCs w:val="19"/>
                <w:vertAlign w:val="superscript"/>
              </w:rPr>
            </w:pPr>
            <w:r>
              <w:rPr>
                <w:noProof/>
              </w:rPr>
              <w:drawing>
                <wp:inline distT="0" distB="0" distL="0" distR="0" wp14:anchorId="7C2E2CAD" wp14:editId="462E06C1">
                  <wp:extent cx="3257550" cy="1819275"/>
                  <wp:effectExtent l="0" t="0" r="0" b="0"/>
                  <wp:docPr id="18" name="Grafico 18">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834" w:type="dxa"/>
          </w:tcPr>
          <w:p w14:paraId="25D892F1" w14:textId="1EC712F3" w:rsidR="004619C5" w:rsidRPr="009B00C4" w:rsidRDefault="00B23BCD" w:rsidP="00671EEA">
            <w:pPr>
              <w:jc w:val="center"/>
              <w:rPr>
                <w:rFonts w:ascii="Arial Narrow" w:hAnsi="Arial Narrow" w:cs="Arial"/>
                <w:color w:val="FF0000"/>
                <w:sz w:val="19"/>
                <w:szCs w:val="19"/>
                <w:vertAlign w:val="superscript"/>
              </w:rPr>
            </w:pPr>
            <w:r>
              <w:rPr>
                <w:noProof/>
              </w:rPr>
              <w:drawing>
                <wp:inline distT="0" distB="0" distL="0" distR="0" wp14:anchorId="562EC2A7" wp14:editId="1CE499A5">
                  <wp:extent cx="3095625" cy="1838325"/>
                  <wp:effectExtent l="0" t="0" r="0" b="0"/>
                  <wp:docPr id="24" name="Grafico 24">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3B77CA6D" w14:textId="30E00D7A" w:rsidR="00985D39" w:rsidRDefault="00981758" w:rsidP="00C010EE">
      <w:pPr>
        <w:pStyle w:val="Paragrafoelenco"/>
        <w:spacing w:before="60" w:line="240" w:lineRule="auto"/>
        <w:ind w:left="0"/>
      </w:pPr>
      <w:r w:rsidRPr="00223532">
        <w:rPr>
          <w:rFonts w:ascii="Arial Narrow" w:hAnsi="Arial Narrow" w:cs="Arial"/>
          <w:color w:val="000000" w:themeColor="text1"/>
          <w:sz w:val="15"/>
          <w:szCs w:val="15"/>
        </w:rPr>
        <w:t xml:space="preserve">(a) </w:t>
      </w:r>
      <w:r w:rsidR="00663BB7" w:rsidRPr="00223532">
        <w:rPr>
          <w:rFonts w:ascii="Arial Narrow" w:hAnsi="Arial Narrow" w:cs="Arial"/>
          <w:color w:val="000000" w:themeColor="text1"/>
          <w:sz w:val="15"/>
          <w:szCs w:val="15"/>
        </w:rPr>
        <w:t>La categoria "Altro" include: passaggio a livello, dosso, pendenza e galleria</w:t>
      </w:r>
      <w:r w:rsidR="00A43C3C" w:rsidRPr="00223532">
        <w:rPr>
          <w:rFonts w:ascii="Arial Narrow" w:hAnsi="Arial Narrow" w:cs="Arial"/>
          <w:color w:val="000000" w:themeColor="text1"/>
          <w:sz w:val="15"/>
          <w:szCs w:val="15"/>
        </w:rPr>
        <w:t>.</w:t>
      </w:r>
    </w:p>
    <w:p w14:paraId="5EE775D7" w14:textId="77777777" w:rsidR="00716572" w:rsidRDefault="00716572" w:rsidP="00671EEA">
      <w:pPr>
        <w:suppressAutoHyphens/>
        <w:spacing w:after="120"/>
        <w:jc w:val="both"/>
        <w:rPr>
          <w:rFonts w:ascii="Arial" w:hAnsi="Arial" w:cs="Arial"/>
          <w:b/>
          <w:color w:val="000000" w:themeColor="text1"/>
          <w:sz w:val="22"/>
          <w:szCs w:val="22"/>
        </w:rPr>
      </w:pPr>
    </w:p>
    <w:p w14:paraId="49B26C49" w14:textId="7F5F1F1E" w:rsidR="003113F5" w:rsidRPr="00223532" w:rsidRDefault="00465515" w:rsidP="00671EEA">
      <w:pPr>
        <w:suppressAutoHyphens/>
        <w:spacing w:after="120"/>
        <w:jc w:val="both"/>
        <w:rPr>
          <w:rFonts w:ascii="Arial" w:hAnsi="Arial" w:cs="Arial"/>
          <w:color w:val="000000" w:themeColor="text1"/>
          <w:sz w:val="22"/>
          <w:szCs w:val="22"/>
        </w:rPr>
      </w:pPr>
      <w:r w:rsidRPr="00223532">
        <w:rPr>
          <w:rFonts w:ascii="Arial" w:hAnsi="Arial" w:cs="Arial"/>
          <w:b/>
          <w:color w:val="000000" w:themeColor="text1"/>
          <w:sz w:val="22"/>
          <w:szCs w:val="22"/>
        </w:rPr>
        <w:t xml:space="preserve">I mesi e le </w:t>
      </w:r>
      <w:r w:rsidR="00A529A1" w:rsidRPr="00223532">
        <w:rPr>
          <w:rFonts w:ascii="Arial" w:hAnsi="Arial" w:cs="Arial"/>
          <w:b/>
          <w:color w:val="000000" w:themeColor="text1"/>
          <w:sz w:val="22"/>
          <w:szCs w:val="22"/>
        </w:rPr>
        <w:t>ore più a rischio</w:t>
      </w:r>
    </w:p>
    <w:p w14:paraId="3E5C83A5" w14:textId="31442579" w:rsidR="00FF43B8" w:rsidRPr="00223532" w:rsidRDefault="00427B69" w:rsidP="00671EEA">
      <w:pPr>
        <w:suppressAutoHyphens/>
        <w:spacing w:after="120"/>
        <w:jc w:val="both"/>
        <w:rPr>
          <w:rStyle w:val="apple-style-span"/>
          <w:rFonts w:ascii="Arial" w:hAnsi="Arial" w:cs="Arial"/>
          <w:color w:val="000000" w:themeColor="text1"/>
          <w:sz w:val="20"/>
          <w:szCs w:val="20"/>
        </w:rPr>
      </w:pPr>
      <w:r w:rsidRPr="00223532">
        <w:rPr>
          <w:rStyle w:val="apple-style-span"/>
          <w:rFonts w:ascii="Arial" w:hAnsi="Arial" w:cs="Arial"/>
          <w:color w:val="000000" w:themeColor="text1"/>
          <w:sz w:val="20"/>
          <w:szCs w:val="20"/>
        </w:rPr>
        <w:t xml:space="preserve">Le misure di contenimento adottate per contrastare </w:t>
      </w:r>
      <w:r>
        <w:rPr>
          <w:rStyle w:val="apple-style-span"/>
          <w:rFonts w:ascii="Arial" w:hAnsi="Arial" w:cs="Arial"/>
          <w:color w:val="000000" w:themeColor="text1"/>
          <w:sz w:val="20"/>
          <w:szCs w:val="20"/>
        </w:rPr>
        <w:t>la pandemia</w:t>
      </w:r>
      <w:r w:rsidRPr="00223532">
        <w:rPr>
          <w:rStyle w:val="apple-style-span"/>
          <w:rFonts w:ascii="Arial" w:hAnsi="Arial" w:cs="Arial"/>
          <w:color w:val="000000" w:themeColor="text1"/>
          <w:sz w:val="20"/>
          <w:szCs w:val="20"/>
        </w:rPr>
        <w:t xml:space="preserve"> e </w:t>
      </w:r>
      <w:r>
        <w:rPr>
          <w:rStyle w:val="apple-style-span"/>
          <w:rFonts w:ascii="Arial" w:hAnsi="Arial" w:cs="Arial"/>
          <w:color w:val="000000" w:themeColor="text1"/>
          <w:sz w:val="20"/>
          <w:szCs w:val="20"/>
        </w:rPr>
        <w:t>i periodi di lockdown attuati nei primi mesi dell’anno</w:t>
      </w:r>
      <w:r w:rsidRPr="00223532">
        <w:rPr>
          <w:rStyle w:val="apple-style-span"/>
          <w:rFonts w:ascii="Arial" w:hAnsi="Arial" w:cs="Arial"/>
          <w:color w:val="000000" w:themeColor="text1"/>
          <w:sz w:val="20"/>
          <w:szCs w:val="20"/>
        </w:rPr>
        <w:t xml:space="preserve"> hanno influito sulla distribuzione temporale degli incidenti stradali sull’intero territorio nazionale</w:t>
      </w:r>
      <w:r w:rsidR="001A1884" w:rsidRPr="00223532">
        <w:rPr>
          <w:rStyle w:val="apple-style-span"/>
          <w:rFonts w:ascii="Arial" w:hAnsi="Arial" w:cs="Arial"/>
          <w:color w:val="000000" w:themeColor="text1"/>
          <w:sz w:val="20"/>
          <w:szCs w:val="20"/>
        </w:rPr>
        <w:t>.</w:t>
      </w:r>
    </w:p>
    <w:p w14:paraId="5D52041C" w14:textId="09C85DF6" w:rsidR="004851CF" w:rsidRDefault="00427B69" w:rsidP="00671EEA">
      <w:pPr>
        <w:suppressAutoHyphens/>
        <w:spacing w:after="120"/>
        <w:jc w:val="both"/>
        <w:rPr>
          <w:rStyle w:val="apple-style-span"/>
          <w:rFonts w:ascii="Arial" w:hAnsi="Arial" w:cs="Arial"/>
          <w:color w:val="000000" w:themeColor="text1"/>
          <w:sz w:val="20"/>
          <w:szCs w:val="20"/>
        </w:rPr>
      </w:pPr>
      <w:r>
        <w:rPr>
          <w:rStyle w:val="apple-style-span"/>
          <w:rFonts w:ascii="Arial" w:hAnsi="Arial" w:cs="Arial"/>
          <w:color w:val="000000" w:themeColor="text1"/>
          <w:sz w:val="20"/>
          <w:szCs w:val="20"/>
        </w:rPr>
        <w:t>Nel periodo gennaio</w:t>
      </w:r>
      <w:r w:rsidR="001E02E5">
        <w:rPr>
          <w:rStyle w:val="apple-style-span"/>
          <w:rFonts w:ascii="Arial" w:hAnsi="Arial" w:cs="Arial"/>
          <w:color w:val="000000" w:themeColor="text1"/>
          <w:sz w:val="20"/>
          <w:szCs w:val="20"/>
        </w:rPr>
        <w:t>-</w:t>
      </w:r>
      <w:r>
        <w:rPr>
          <w:rStyle w:val="apple-style-span"/>
          <w:rFonts w:ascii="Arial" w:hAnsi="Arial" w:cs="Arial"/>
          <w:color w:val="000000" w:themeColor="text1"/>
          <w:sz w:val="20"/>
          <w:szCs w:val="20"/>
        </w:rPr>
        <w:t xml:space="preserve">aprile si registrano in Basilicata </w:t>
      </w:r>
      <w:r w:rsidR="00E42B44">
        <w:rPr>
          <w:rStyle w:val="apple-style-span"/>
          <w:rFonts w:ascii="Arial" w:hAnsi="Arial" w:cs="Arial"/>
          <w:color w:val="000000" w:themeColor="text1"/>
          <w:sz w:val="20"/>
          <w:szCs w:val="20"/>
        </w:rPr>
        <w:t>206</w:t>
      </w:r>
      <w:r>
        <w:rPr>
          <w:rStyle w:val="apple-style-span"/>
          <w:rFonts w:ascii="Arial" w:hAnsi="Arial" w:cs="Arial"/>
          <w:color w:val="000000" w:themeColor="text1"/>
          <w:sz w:val="20"/>
          <w:szCs w:val="20"/>
        </w:rPr>
        <w:t xml:space="preserve"> incidenti (2</w:t>
      </w:r>
      <w:r w:rsidR="00E42B44">
        <w:rPr>
          <w:rStyle w:val="apple-style-span"/>
          <w:rFonts w:ascii="Arial" w:hAnsi="Arial" w:cs="Arial"/>
          <w:color w:val="000000" w:themeColor="text1"/>
          <w:sz w:val="20"/>
          <w:szCs w:val="20"/>
        </w:rPr>
        <w:t>2</w:t>
      </w:r>
      <w:r>
        <w:rPr>
          <w:rStyle w:val="apple-style-span"/>
          <w:rFonts w:ascii="Arial" w:hAnsi="Arial" w:cs="Arial"/>
          <w:color w:val="000000" w:themeColor="text1"/>
          <w:sz w:val="20"/>
          <w:szCs w:val="20"/>
        </w:rPr>
        <w:t>,4% del totale) mentre t</w:t>
      </w:r>
      <w:r w:rsidRPr="00223532">
        <w:rPr>
          <w:rStyle w:val="apple-style-span"/>
          <w:rFonts w:ascii="Arial" w:hAnsi="Arial" w:cs="Arial"/>
          <w:color w:val="000000" w:themeColor="text1"/>
          <w:sz w:val="20"/>
          <w:szCs w:val="20"/>
        </w:rPr>
        <w:t>ra maggio e settembre</w:t>
      </w:r>
      <w:r>
        <w:rPr>
          <w:rStyle w:val="apple-style-span"/>
          <w:rFonts w:ascii="Arial" w:hAnsi="Arial" w:cs="Arial"/>
          <w:color w:val="000000" w:themeColor="text1"/>
          <w:sz w:val="20"/>
          <w:szCs w:val="20"/>
        </w:rPr>
        <w:t>,</w:t>
      </w:r>
      <w:r w:rsidRPr="00223532">
        <w:rPr>
          <w:rStyle w:val="apple-style-span"/>
          <w:rFonts w:ascii="Arial" w:hAnsi="Arial" w:cs="Arial"/>
          <w:color w:val="000000" w:themeColor="text1"/>
          <w:sz w:val="20"/>
          <w:szCs w:val="20"/>
        </w:rPr>
        <w:t xml:space="preserve"> in coincidenza della riapertura di gran parte delle attività e del periodo di maggiore mobilità per vacanze, si contano </w:t>
      </w:r>
      <w:r w:rsidR="00E42B44">
        <w:rPr>
          <w:rStyle w:val="apple-style-span"/>
          <w:rFonts w:ascii="Arial" w:hAnsi="Arial" w:cs="Arial"/>
          <w:color w:val="000000" w:themeColor="text1"/>
          <w:sz w:val="20"/>
          <w:szCs w:val="20"/>
        </w:rPr>
        <w:t>459</w:t>
      </w:r>
      <w:r w:rsidR="00223532" w:rsidRPr="00223532">
        <w:rPr>
          <w:rStyle w:val="apple-style-span"/>
          <w:rFonts w:ascii="Arial" w:hAnsi="Arial" w:cs="Arial"/>
          <w:color w:val="000000" w:themeColor="text1"/>
          <w:sz w:val="20"/>
          <w:szCs w:val="20"/>
        </w:rPr>
        <w:t xml:space="preserve"> incidenti</w:t>
      </w:r>
      <w:r w:rsidR="003113F5" w:rsidRPr="00223532">
        <w:rPr>
          <w:rStyle w:val="apple-style-span"/>
          <w:rFonts w:ascii="Arial" w:hAnsi="Arial" w:cs="Arial"/>
          <w:color w:val="000000" w:themeColor="text1"/>
          <w:sz w:val="20"/>
          <w:szCs w:val="20"/>
        </w:rPr>
        <w:t xml:space="preserve"> (</w:t>
      </w:r>
      <w:r w:rsidR="00552E5D" w:rsidRPr="00223532">
        <w:rPr>
          <w:rStyle w:val="apple-style-span"/>
          <w:rFonts w:ascii="Arial" w:hAnsi="Arial" w:cs="Arial"/>
          <w:color w:val="000000" w:themeColor="text1"/>
          <w:sz w:val="20"/>
          <w:szCs w:val="20"/>
        </w:rPr>
        <w:t xml:space="preserve">il </w:t>
      </w:r>
      <w:r w:rsidR="00E42B44">
        <w:rPr>
          <w:rStyle w:val="apple-style-span"/>
          <w:rFonts w:ascii="Arial" w:hAnsi="Arial" w:cs="Arial"/>
          <w:color w:val="000000" w:themeColor="text1"/>
          <w:sz w:val="20"/>
          <w:szCs w:val="20"/>
        </w:rPr>
        <w:t>50,0</w:t>
      </w:r>
      <w:r w:rsidR="00A02025" w:rsidRPr="00223532">
        <w:rPr>
          <w:rStyle w:val="apple-style-span"/>
          <w:rFonts w:ascii="Arial" w:hAnsi="Arial" w:cs="Arial"/>
          <w:color w:val="000000" w:themeColor="text1"/>
          <w:sz w:val="20"/>
          <w:szCs w:val="20"/>
        </w:rPr>
        <w:t>%</w:t>
      </w:r>
      <w:r w:rsidR="00CF7FD8" w:rsidRPr="00223532">
        <w:rPr>
          <w:rStyle w:val="apple-style-span"/>
          <w:rFonts w:ascii="Arial" w:hAnsi="Arial" w:cs="Arial"/>
          <w:color w:val="000000" w:themeColor="text1"/>
          <w:sz w:val="20"/>
          <w:szCs w:val="20"/>
        </w:rPr>
        <w:t xml:space="preserve"> </w:t>
      </w:r>
      <w:r w:rsidR="00366BDE" w:rsidRPr="00223532">
        <w:rPr>
          <w:rStyle w:val="apple-style-span"/>
          <w:rFonts w:ascii="Arial" w:hAnsi="Arial" w:cs="Arial"/>
          <w:color w:val="000000" w:themeColor="text1"/>
          <w:sz w:val="20"/>
          <w:szCs w:val="20"/>
        </w:rPr>
        <w:t>di quelli avvenuti durante l’anno</w:t>
      </w:r>
      <w:r w:rsidR="003113F5" w:rsidRPr="00223532">
        <w:rPr>
          <w:rStyle w:val="apple-style-span"/>
          <w:rFonts w:ascii="Arial" w:hAnsi="Arial" w:cs="Arial"/>
          <w:color w:val="000000" w:themeColor="text1"/>
          <w:sz w:val="20"/>
          <w:szCs w:val="20"/>
        </w:rPr>
        <w:t>)</w:t>
      </w:r>
      <w:r w:rsidR="005C17C4">
        <w:rPr>
          <w:rStyle w:val="apple-style-span"/>
          <w:rFonts w:ascii="Arial" w:hAnsi="Arial" w:cs="Arial"/>
          <w:color w:val="000000" w:themeColor="text1"/>
          <w:sz w:val="20"/>
          <w:szCs w:val="20"/>
        </w:rPr>
        <w:t>,</w:t>
      </w:r>
      <w:r w:rsidR="003113F5" w:rsidRPr="00223532">
        <w:rPr>
          <w:rStyle w:val="apple-style-span"/>
          <w:rFonts w:ascii="Arial" w:hAnsi="Arial" w:cs="Arial"/>
          <w:color w:val="000000" w:themeColor="text1"/>
          <w:sz w:val="20"/>
          <w:szCs w:val="20"/>
        </w:rPr>
        <w:t xml:space="preserve"> </w:t>
      </w:r>
      <w:r w:rsidR="00C26382">
        <w:rPr>
          <w:rStyle w:val="apple-style-span"/>
          <w:rFonts w:ascii="Arial" w:hAnsi="Arial" w:cs="Arial"/>
          <w:color w:val="000000" w:themeColor="text1"/>
          <w:sz w:val="20"/>
          <w:szCs w:val="20"/>
        </w:rPr>
        <w:t>con 681</w:t>
      </w:r>
      <w:r w:rsidR="006413BF">
        <w:rPr>
          <w:rStyle w:val="apple-style-span"/>
          <w:rFonts w:ascii="Arial" w:hAnsi="Arial" w:cs="Arial"/>
          <w:color w:val="000000" w:themeColor="text1"/>
          <w:sz w:val="20"/>
          <w:szCs w:val="20"/>
        </w:rPr>
        <w:t xml:space="preserve"> </w:t>
      </w:r>
      <w:r w:rsidR="00C010EE">
        <w:rPr>
          <w:rStyle w:val="apple-style-span"/>
          <w:rFonts w:ascii="Arial" w:hAnsi="Arial" w:cs="Arial"/>
          <w:color w:val="000000" w:themeColor="text1"/>
          <w:sz w:val="20"/>
          <w:szCs w:val="20"/>
        </w:rPr>
        <w:t xml:space="preserve">feriti </w:t>
      </w:r>
      <w:r w:rsidR="00C010EE" w:rsidRPr="00223532">
        <w:rPr>
          <w:rStyle w:val="apple-style-span"/>
          <w:rFonts w:ascii="Arial" w:hAnsi="Arial" w:cs="Arial"/>
          <w:color w:val="000000" w:themeColor="text1"/>
          <w:sz w:val="20"/>
          <w:szCs w:val="20"/>
        </w:rPr>
        <w:t>(</w:t>
      </w:r>
      <w:r w:rsidR="00E42B44">
        <w:rPr>
          <w:rStyle w:val="apple-style-span"/>
          <w:rFonts w:ascii="Arial" w:hAnsi="Arial" w:cs="Arial"/>
          <w:color w:val="000000" w:themeColor="text1"/>
          <w:sz w:val="20"/>
          <w:szCs w:val="20"/>
        </w:rPr>
        <w:t>51,1</w:t>
      </w:r>
      <w:r w:rsidR="00A02025" w:rsidRPr="00223532">
        <w:rPr>
          <w:rStyle w:val="apple-style-span"/>
          <w:rFonts w:ascii="Arial" w:hAnsi="Arial" w:cs="Arial"/>
          <w:color w:val="000000" w:themeColor="text1"/>
          <w:sz w:val="20"/>
          <w:szCs w:val="20"/>
        </w:rPr>
        <w:t>%</w:t>
      </w:r>
      <w:r w:rsidR="003F2502" w:rsidRPr="00223532">
        <w:rPr>
          <w:rStyle w:val="apple-style-span"/>
          <w:rFonts w:ascii="Arial" w:hAnsi="Arial" w:cs="Arial"/>
          <w:color w:val="000000" w:themeColor="text1"/>
          <w:sz w:val="20"/>
          <w:szCs w:val="20"/>
        </w:rPr>
        <w:t xml:space="preserve">) e </w:t>
      </w:r>
      <w:r w:rsidR="00E42B44">
        <w:rPr>
          <w:rStyle w:val="apple-style-span"/>
          <w:rFonts w:ascii="Arial" w:hAnsi="Arial" w:cs="Arial"/>
          <w:color w:val="000000" w:themeColor="text1"/>
          <w:sz w:val="20"/>
          <w:szCs w:val="20"/>
        </w:rPr>
        <w:t>17</w:t>
      </w:r>
      <w:r w:rsidR="001C0593" w:rsidRPr="00223532">
        <w:rPr>
          <w:rStyle w:val="apple-style-span"/>
          <w:rFonts w:ascii="Arial" w:hAnsi="Arial" w:cs="Arial"/>
          <w:color w:val="000000" w:themeColor="text1"/>
          <w:sz w:val="20"/>
          <w:szCs w:val="20"/>
        </w:rPr>
        <w:t xml:space="preserve"> </w:t>
      </w:r>
      <w:r w:rsidR="006413BF">
        <w:rPr>
          <w:rStyle w:val="apple-style-span"/>
          <w:rFonts w:ascii="Arial" w:hAnsi="Arial" w:cs="Arial"/>
          <w:color w:val="000000" w:themeColor="text1"/>
          <w:sz w:val="20"/>
          <w:szCs w:val="20"/>
        </w:rPr>
        <w:t>morti</w:t>
      </w:r>
      <w:r w:rsidR="006413BF" w:rsidRPr="00223532">
        <w:rPr>
          <w:rStyle w:val="apple-style-span"/>
          <w:rFonts w:ascii="Arial" w:hAnsi="Arial" w:cs="Arial"/>
          <w:color w:val="000000" w:themeColor="text1"/>
          <w:sz w:val="20"/>
          <w:szCs w:val="20"/>
        </w:rPr>
        <w:t xml:space="preserve"> </w:t>
      </w:r>
      <w:r w:rsidR="003F2502" w:rsidRPr="00223532">
        <w:rPr>
          <w:rStyle w:val="apple-style-span"/>
          <w:rFonts w:ascii="Arial" w:hAnsi="Arial" w:cs="Arial"/>
          <w:color w:val="000000" w:themeColor="text1"/>
          <w:sz w:val="20"/>
          <w:szCs w:val="20"/>
        </w:rPr>
        <w:t>(</w:t>
      </w:r>
      <w:r w:rsidR="00E42B44">
        <w:rPr>
          <w:rStyle w:val="apple-style-span"/>
          <w:rFonts w:ascii="Arial" w:hAnsi="Arial" w:cs="Arial"/>
          <w:color w:val="000000" w:themeColor="text1"/>
          <w:sz w:val="20"/>
          <w:szCs w:val="20"/>
        </w:rPr>
        <w:t>47,2</w:t>
      </w:r>
      <w:r w:rsidR="00901611" w:rsidRPr="00223532">
        <w:rPr>
          <w:rStyle w:val="apple-style-span"/>
          <w:rFonts w:ascii="Arial" w:hAnsi="Arial" w:cs="Arial"/>
          <w:color w:val="000000" w:themeColor="text1"/>
          <w:sz w:val="20"/>
          <w:szCs w:val="20"/>
        </w:rPr>
        <w:t>%</w:t>
      </w:r>
      <w:r w:rsidR="009F484B" w:rsidRPr="00223532">
        <w:rPr>
          <w:rStyle w:val="apple-style-span"/>
          <w:rFonts w:ascii="Arial" w:hAnsi="Arial" w:cs="Arial"/>
          <w:color w:val="000000" w:themeColor="text1"/>
          <w:sz w:val="20"/>
          <w:szCs w:val="20"/>
        </w:rPr>
        <w:t>)</w:t>
      </w:r>
      <w:r w:rsidR="00336B87" w:rsidRPr="00223532">
        <w:rPr>
          <w:rStyle w:val="apple-style-span"/>
          <w:rFonts w:ascii="Arial" w:hAnsi="Arial" w:cs="Arial"/>
          <w:color w:val="000000" w:themeColor="text1"/>
          <w:sz w:val="20"/>
          <w:szCs w:val="20"/>
        </w:rPr>
        <w:t xml:space="preserve"> </w:t>
      </w:r>
      <w:r w:rsidR="00F24ABF" w:rsidRPr="00223532">
        <w:rPr>
          <w:rStyle w:val="apple-style-span"/>
          <w:rFonts w:ascii="Arial" w:hAnsi="Arial" w:cs="Arial"/>
          <w:color w:val="000000" w:themeColor="text1"/>
          <w:sz w:val="20"/>
          <w:szCs w:val="20"/>
        </w:rPr>
        <w:t>(</w:t>
      </w:r>
      <w:r w:rsidR="003F2502" w:rsidRPr="00223532">
        <w:rPr>
          <w:rStyle w:val="apple-style-span"/>
          <w:rFonts w:ascii="Arial" w:hAnsi="Arial" w:cs="Arial"/>
          <w:color w:val="000000" w:themeColor="text1"/>
          <w:sz w:val="20"/>
          <w:szCs w:val="20"/>
        </w:rPr>
        <w:t>Figura</w:t>
      </w:r>
      <w:r w:rsidR="00336B87" w:rsidRPr="00223532">
        <w:rPr>
          <w:rStyle w:val="apple-style-span"/>
          <w:rFonts w:ascii="Arial" w:hAnsi="Arial" w:cs="Arial"/>
          <w:color w:val="000000" w:themeColor="text1"/>
          <w:sz w:val="20"/>
          <w:szCs w:val="20"/>
        </w:rPr>
        <w:t xml:space="preserve"> 5</w:t>
      </w:r>
      <w:r w:rsidR="003F2502" w:rsidRPr="00223532">
        <w:rPr>
          <w:rStyle w:val="apple-style-span"/>
          <w:rFonts w:ascii="Arial" w:hAnsi="Arial" w:cs="Arial"/>
          <w:color w:val="000000" w:themeColor="text1"/>
          <w:sz w:val="20"/>
          <w:szCs w:val="20"/>
        </w:rPr>
        <w:t>)</w:t>
      </w:r>
      <w:r w:rsidR="00CF17C1" w:rsidRPr="00223532">
        <w:rPr>
          <w:rStyle w:val="apple-style-span"/>
          <w:rFonts w:ascii="Arial" w:hAnsi="Arial" w:cs="Arial"/>
          <w:color w:val="000000" w:themeColor="text1"/>
          <w:sz w:val="20"/>
          <w:szCs w:val="20"/>
        </w:rPr>
        <w:t>.</w:t>
      </w:r>
      <w:r w:rsidR="00901611" w:rsidRPr="00223532">
        <w:rPr>
          <w:rStyle w:val="apple-style-span"/>
          <w:rFonts w:ascii="Arial" w:hAnsi="Arial" w:cs="Arial"/>
          <w:color w:val="000000" w:themeColor="text1"/>
          <w:sz w:val="20"/>
          <w:szCs w:val="20"/>
        </w:rPr>
        <w:t xml:space="preserve"> </w:t>
      </w:r>
    </w:p>
    <w:p w14:paraId="5CF0F9B2" w14:textId="6D4B97EC" w:rsidR="00CD11A2" w:rsidRPr="006D5EB7" w:rsidRDefault="00A05AB0" w:rsidP="00671EEA">
      <w:pPr>
        <w:suppressAutoHyphens/>
        <w:spacing w:after="120"/>
        <w:jc w:val="both"/>
        <w:rPr>
          <w:rStyle w:val="apple-style-span"/>
          <w:rFonts w:ascii="Arial" w:hAnsi="Arial" w:cs="Arial"/>
          <w:color w:val="FF0000"/>
          <w:sz w:val="20"/>
          <w:szCs w:val="20"/>
        </w:rPr>
      </w:pPr>
      <w:r w:rsidRPr="00D14CD0">
        <w:rPr>
          <w:rStyle w:val="apple-style-span"/>
          <w:rFonts w:ascii="Arial" w:hAnsi="Arial" w:cs="Arial"/>
          <w:color w:val="000000" w:themeColor="text1"/>
          <w:sz w:val="20"/>
          <w:szCs w:val="20"/>
        </w:rPr>
        <w:t>Oltre il</w:t>
      </w:r>
      <w:r w:rsidR="00920844" w:rsidRPr="00D14CD0">
        <w:rPr>
          <w:rStyle w:val="apple-style-span"/>
          <w:rFonts w:ascii="Arial" w:hAnsi="Arial" w:cs="Arial"/>
          <w:color w:val="000000" w:themeColor="text1"/>
          <w:sz w:val="20"/>
          <w:szCs w:val="20"/>
        </w:rPr>
        <w:t xml:space="preserve"> </w:t>
      </w:r>
      <w:r w:rsidR="00E42B44">
        <w:rPr>
          <w:rStyle w:val="apple-style-span"/>
          <w:rFonts w:ascii="Arial" w:hAnsi="Arial" w:cs="Arial"/>
          <w:color w:val="000000" w:themeColor="text1"/>
          <w:sz w:val="20"/>
          <w:szCs w:val="20"/>
        </w:rPr>
        <w:t>73</w:t>
      </w:r>
      <w:r w:rsidR="00920844" w:rsidRPr="00D14CD0">
        <w:rPr>
          <w:rStyle w:val="apple-style-span"/>
          <w:rFonts w:ascii="Arial" w:hAnsi="Arial" w:cs="Arial"/>
          <w:color w:val="000000" w:themeColor="text1"/>
          <w:sz w:val="20"/>
          <w:szCs w:val="20"/>
        </w:rPr>
        <w:t xml:space="preserve">% degli incidenti ha </w:t>
      </w:r>
      <w:r w:rsidR="00A57520">
        <w:rPr>
          <w:rStyle w:val="apple-style-span"/>
          <w:rFonts w:ascii="Arial" w:hAnsi="Arial" w:cs="Arial"/>
          <w:color w:val="000000" w:themeColor="text1"/>
          <w:sz w:val="20"/>
          <w:szCs w:val="20"/>
        </w:rPr>
        <w:t xml:space="preserve">avuto </w:t>
      </w:r>
      <w:r w:rsidR="00920844" w:rsidRPr="00D14CD0">
        <w:rPr>
          <w:rStyle w:val="apple-style-span"/>
          <w:rFonts w:ascii="Arial" w:hAnsi="Arial" w:cs="Arial"/>
          <w:color w:val="000000" w:themeColor="text1"/>
          <w:sz w:val="20"/>
          <w:szCs w:val="20"/>
        </w:rPr>
        <w:t>luogo tra le 8 e le 20</w:t>
      </w:r>
      <w:r w:rsidR="00A86CDC" w:rsidRPr="00D14CD0">
        <w:rPr>
          <w:rStyle w:val="apple-style-span"/>
          <w:rFonts w:ascii="Arial" w:hAnsi="Arial" w:cs="Arial"/>
          <w:color w:val="000000" w:themeColor="text1"/>
          <w:sz w:val="20"/>
          <w:szCs w:val="20"/>
        </w:rPr>
        <w:t xml:space="preserve"> </w:t>
      </w:r>
      <w:r w:rsidR="00920844" w:rsidRPr="00D14CD0">
        <w:rPr>
          <w:rStyle w:val="apple-style-span"/>
          <w:rFonts w:ascii="Arial" w:hAnsi="Arial" w:cs="Arial"/>
          <w:color w:val="000000" w:themeColor="text1"/>
          <w:sz w:val="20"/>
          <w:szCs w:val="20"/>
        </w:rPr>
        <w:t xml:space="preserve">ma l’indice di mortalità raggiunge i valori più elevati nella fascia oraria tra </w:t>
      </w:r>
      <w:r w:rsidR="001F0B11" w:rsidRPr="00D14CD0">
        <w:rPr>
          <w:rStyle w:val="apple-style-span"/>
          <w:rFonts w:ascii="Arial" w:hAnsi="Arial" w:cs="Arial"/>
          <w:color w:val="000000" w:themeColor="text1"/>
          <w:sz w:val="20"/>
          <w:szCs w:val="20"/>
        </w:rPr>
        <w:t>le</w:t>
      </w:r>
      <w:r w:rsidR="00F47514">
        <w:rPr>
          <w:rStyle w:val="apple-style-span"/>
          <w:rFonts w:ascii="Arial" w:hAnsi="Arial" w:cs="Arial"/>
          <w:color w:val="000000" w:themeColor="text1"/>
          <w:sz w:val="20"/>
          <w:szCs w:val="20"/>
        </w:rPr>
        <w:t xml:space="preserve"> due e le </w:t>
      </w:r>
      <w:r w:rsidR="00F877B7">
        <w:rPr>
          <w:rStyle w:val="apple-style-span"/>
          <w:rFonts w:ascii="Arial" w:hAnsi="Arial" w:cs="Arial"/>
          <w:color w:val="000000" w:themeColor="text1"/>
          <w:sz w:val="20"/>
          <w:szCs w:val="20"/>
        </w:rPr>
        <w:t xml:space="preserve">tre </w:t>
      </w:r>
      <w:r w:rsidR="00920844" w:rsidRPr="00D14CD0">
        <w:rPr>
          <w:rStyle w:val="apple-style-span"/>
          <w:rFonts w:ascii="Arial" w:hAnsi="Arial" w:cs="Arial"/>
          <w:color w:val="000000" w:themeColor="text1"/>
          <w:sz w:val="20"/>
          <w:szCs w:val="20"/>
        </w:rPr>
        <w:t>(</w:t>
      </w:r>
      <w:r w:rsidR="00ED7E10">
        <w:rPr>
          <w:rStyle w:val="apple-style-span"/>
          <w:rFonts w:ascii="Arial" w:hAnsi="Arial" w:cs="Arial"/>
          <w:color w:val="000000" w:themeColor="text1"/>
          <w:sz w:val="20"/>
          <w:szCs w:val="20"/>
        </w:rPr>
        <w:t>33,3</w:t>
      </w:r>
      <w:r w:rsidR="00920844" w:rsidRPr="00D14CD0">
        <w:rPr>
          <w:rStyle w:val="apple-style-span"/>
          <w:rFonts w:ascii="Arial" w:hAnsi="Arial" w:cs="Arial"/>
          <w:color w:val="000000" w:themeColor="text1"/>
          <w:sz w:val="20"/>
          <w:szCs w:val="20"/>
        </w:rPr>
        <w:t xml:space="preserve"> morti ogni 100 incidenti) </w:t>
      </w:r>
      <w:r w:rsidR="00E0356E" w:rsidRPr="00D14CD0">
        <w:rPr>
          <w:rStyle w:val="apple-style-span"/>
          <w:rFonts w:ascii="Arial" w:hAnsi="Arial" w:cs="Arial"/>
          <w:color w:val="000000" w:themeColor="text1"/>
          <w:sz w:val="20"/>
          <w:szCs w:val="20"/>
        </w:rPr>
        <w:t xml:space="preserve">e </w:t>
      </w:r>
      <w:r w:rsidR="00ED7E10">
        <w:rPr>
          <w:rStyle w:val="apple-style-span"/>
          <w:rFonts w:ascii="Arial" w:hAnsi="Arial" w:cs="Arial"/>
          <w:color w:val="000000" w:themeColor="text1"/>
          <w:sz w:val="20"/>
          <w:szCs w:val="20"/>
        </w:rPr>
        <w:t xml:space="preserve">le </w:t>
      </w:r>
      <w:r w:rsidR="00F47514">
        <w:rPr>
          <w:rStyle w:val="apple-style-span"/>
          <w:rFonts w:ascii="Arial" w:hAnsi="Arial" w:cs="Arial"/>
          <w:color w:val="000000" w:themeColor="text1"/>
          <w:sz w:val="20"/>
          <w:szCs w:val="20"/>
        </w:rPr>
        <w:t xml:space="preserve">ventidue e le </w:t>
      </w:r>
      <w:r w:rsidR="00140E3B">
        <w:rPr>
          <w:rStyle w:val="apple-style-span"/>
          <w:rFonts w:ascii="Arial" w:hAnsi="Arial" w:cs="Arial"/>
          <w:color w:val="000000" w:themeColor="text1"/>
          <w:sz w:val="20"/>
          <w:szCs w:val="20"/>
        </w:rPr>
        <w:t>ventitré</w:t>
      </w:r>
      <w:r w:rsidR="004851CF">
        <w:rPr>
          <w:rStyle w:val="apple-style-span"/>
          <w:rFonts w:ascii="Arial" w:hAnsi="Arial" w:cs="Arial"/>
          <w:color w:val="000000" w:themeColor="text1"/>
          <w:sz w:val="20"/>
          <w:szCs w:val="20"/>
        </w:rPr>
        <w:t xml:space="preserve"> </w:t>
      </w:r>
      <w:r w:rsidR="00E0356E" w:rsidRPr="00D14CD0">
        <w:rPr>
          <w:rStyle w:val="apple-style-span"/>
          <w:rFonts w:ascii="Arial" w:hAnsi="Arial" w:cs="Arial"/>
          <w:color w:val="000000" w:themeColor="text1"/>
          <w:sz w:val="20"/>
          <w:szCs w:val="20"/>
        </w:rPr>
        <w:t>(</w:t>
      </w:r>
      <w:r w:rsidR="00ED7E10">
        <w:rPr>
          <w:rStyle w:val="apple-style-span"/>
          <w:rFonts w:ascii="Arial" w:hAnsi="Arial" w:cs="Arial"/>
          <w:color w:val="000000" w:themeColor="text1"/>
          <w:sz w:val="20"/>
          <w:szCs w:val="20"/>
        </w:rPr>
        <w:t>9,5</w:t>
      </w:r>
      <w:r w:rsidR="009E53DC" w:rsidRPr="00D14CD0">
        <w:rPr>
          <w:rStyle w:val="apple-style-span"/>
          <w:rFonts w:ascii="Arial" w:hAnsi="Arial" w:cs="Arial"/>
          <w:color w:val="000000" w:themeColor="text1"/>
          <w:sz w:val="20"/>
          <w:szCs w:val="20"/>
        </w:rPr>
        <w:t xml:space="preserve"> m</w:t>
      </w:r>
      <w:r w:rsidR="00E0356E" w:rsidRPr="00D14CD0">
        <w:rPr>
          <w:rStyle w:val="apple-style-span"/>
          <w:rFonts w:ascii="Arial" w:hAnsi="Arial" w:cs="Arial"/>
          <w:color w:val="000000" w:themeColor="text1"/>
          <w:sz w:val="20"/>
          <w:szCs w:val="20"/>
        </w:rPr>
        <w:t>orti ogni 100 incidenti</w:t>
      </w:r>
      <w:r w:rsidR="009E53DC" w:rsidRPr="00D14CD0">
        <w:rPr>
          <w:rStyle w:val="apple-style-span"/>
          <w:rFonts w:ascii="Arial" w:hAnsi="Arial" w:cs="Arial"/>
          <w:color w:val="000000" w:themeColor="text1"/>
          <w:sz w:val="20"/>
          <w:szCs w:val="20"/>
        </w:rPr>
        <w:t>)</w:t>
      </w:r>
      <w:r w:rsidR="006413BF">
        <w:rPr>
          <w:rStyle w:val="apple-style-span"/>
          <w:rFonts w:ascii="Arial" w:hAnsi="Arial" w:cs="Arial"/>
          <w:color w:val="000000" w:themeColor="text1"/>
          <w:sz w:val="20"/>
          <w:szCs w:val="20"/>
        </w:rPr>
        <w:t>,</w:t>
      </w:r>
      <w:r w:rsidR="00E0356E" w:rsidRPr="00D14CD0">
        <w:rPr>
          <w:rStyle w:val="apple-style-span"/>
          <w:rFonts w:ascii="Arial" w:hAnsi="Arial" w:cs="Arial"/>
          <w:color w:val="000000" w:themeColor="text1"/>
          <w:sz w:val="20"/>
          <w:szCs w:val="20"/>
        </w:rPr>
        <w:t xml:space="preserve"> </w:t>
      </w:r>
      <w:r w:rsidR="00920844" w:rsidRPr="00D14CD0">
        <w:rPr>
          <w:rStyle w:val="apple-style-span"/>
          <w:rFonts w:ascii="Arial" w:hAnsi="Arial" w:cs="Arial"/>
          <w:color w:val="000000" w:themeColor="text1"/>
          <w:sz w:val="20"/>
          <w:szCs w:val="20"/>
        </w:rPr>
        <w:t>valor</w:t>
      </w:r>
      <w:r w:rsidR="009E53DC" w:rsidRPr="00D14CD0">
        <w:rPr>
          <w:rStyle w:val="apple-style-span"/>
          <w:rFonts w:ascii="Arial" w:hAnsi="Arial" w:cs="Arial"/>
          <w:color w:val="000000" w:themeColor="text1"/>
          <w:sz w:val="20"/>
          <w:szCs w:val="20"/>
        </w:rPr>
        <w:t>i</w:t>
      </w:r>
      <w:r w:rsidR="00920844" w:rsidRPr="00D14CD0">
        <w:rPr>
          <w:rStyle w:val="apple-style-span"/>
          <w:rFonts w:ascii="Arial" w:hAnsi="Arial" w:cs="Arial"/>
          <w:color w:val="000000" w:themeColor="text1"/>
          <w:sz w:val="20"/>
          <w:szCs w:val="20"/>
        </w:rPr>
        <w:t xml:space="preserve"> molto </w:t>
      </w:r>
      <w:r w:rsidR="009E53DC" w:rsidRPr="00D14CD0">
        <w:rPr>
          <w:rStyle w:val="apple-style-span"/>
          <w:rFonts w:ascii="Arial" w:hAnsi="Arial" w:cs="Arial"/>
          <w:color w:val="000000" w:themeColor="text1"/>
          <w:sz w:val="20"/>
          <w:szCs w:val="20"/>
        </w:rPr>
        <w:t xml:space="preserve">superiori </w:t>
      </w:r>
      <w:r w:rsidR="00920844" w:rsidRPr="00D14CD0">
        <w:rPr>
          <w:rStyle w:val="apple-style-span"/>
          <w:rFonts w:ascii="Arial" w:hAnsi="Arial" w:cs="Arial"/>
          <w:color w:val="000000" w:themeColor="text1"/>
          <w:sz w:val="20"/>
          <w:szCs w:val="20"/>
        </w:rPr>
        <w:t>alla media giornaliera (</w:t>
      </w:r>
      <w:r w:rsidR="00ED7E10">
        <w:rPr>
          <w:rStyle w:val="apple-style-span"/>
          <w:rFonts w:ascii="Arial" w:hAnsi="Arial" w:cs="Arial"/>
          <w:color w:val="000000" w:themeColor="text1"/>
          <w:sz w:val="20"/>
          <w:szCs w:val="20"/>
        </w:rPr>
        <w:t>3,9</w:t>
      </w:r>
      <w:r w:rsidR="00920844" w:rsidRPr="00D14CD0">
        <w:rPr>
          <w:rStyle w:val="apple-style-span"/>
          <w:rFonts w:ascii="Arial" w:hAnsi="Arial" w:cs="Arial"/>
          <w:color w:val="000000" w:themeColor="text1"/>
          <w:sz w:val="20"/>
          <w:szCs w:val="20"/>
        </w:rPr>
        <w:t>) (Figur</w:t>
      </w:r>
      <w:r w:rsidR="00336B87" w:rsidRPr="00D14CD0">
        <w:rPr>
          <w:rStyle w:val="apple-style-span"/>
          <w:rFonts w:ascii="Arial" w:hAnsi="Arial" w:cs="Arial"/>
          <w:color w:val="000000" w:themeColor="text1"/>
          <w:sz w:val="20"/>
          <w:szCs w:val="20"/>
        </w:rPr>
        <w:t>e 6 e 7</w:t>
      </w:r>
      <w:r w:rsidR="00920844" w:rsidRPr="00907BB2">
        <w:rPr>
          <w:rStyle w:val="apple-style-span"/>
          <w:rFonts w:ascii="Arial" w:hAnsi="Arial" w:cs="Arial"/>
          <w:color w:val="000000" w:themeColor="text1"/>
          <w:sz w:val="20"/>
          <w:szCs w:val="20"/>
        </w:rPr>
        <w:t>).</w:t>
      </w:r>
      <w:r w:rsidR="00920844" w:rsidRPr="00907BB2">
        <w:rPr>
          <w:rFonts w:ascii="Arial" w:hAnsi="Arial" w:cs="Arial"/>
          <w:color w:val="000000" w:themeColor="text1"/>
          <w:sz w:val="20"/>
          <w:szCs w:val="20"/>
        </w:rPr>
        <w:t xml:space="preserve"> </w:t>
      </w:r>
      <w:r w:rsidR="009E53DC" w:rsidRPr="00907BB2">
        <w:rPr>
          <w:rStyle w:val="apple-style-span"/>
          <w:rFonts w:ascii="Arial" w:hAnsi="Arial" w:cs="Arial"/>
          <w:color w:val="000000" w:themeColor="text1"/>
          <w:sz w:val="20"/>
          <w:szCs w:val="20"/>
        </w:rPr>
        <w:t>Il</w:t>
      </w:r>
      <w:r w:rsidR="00A64DF4" w:rsidRPr="00907BB2">
        <w:rPr>
          <w:rStyle w:val="apple-style-span"/>
          <w:rFonts w:ascii="Arial" w:hAnsi="Arial" w:cs="Arial"/>
          <w:color w:val="000000" w:themeColor="text1"/>
          <w:sz w:val="20"/>
          <w:szCs w:val="20"/>
        </w:rPr>
        <w:t xml:space="preserve"> venerdì e </w:t>
      </w:r>
      <w:r w:rsidR="00A57520">
        <w:rPr>
          <w:rStyle w:val="apple-style-span"/>
          <w:rFonts w:ascii="Arial" w:hAnsi="Arial" w:cs="Arial"/>
          <w:color w:val="000000" w:themeColor="text1"/>
          <w:sz w:val="20"/>
          <w:szCs w:val="20"/>
        </w:rPr>
        <w:t xml:space="preserve">il </w:t>
      </w:r>
      <w:r w:rsidR="00A64DF4" w:rsidRPr="00907BB2">
        <w:rPr>
          <w:rStyle w:val="apple-style-span"/>
          <w:rFonts w:ascii="Arial" w:hAnsi="Arial" w:cs="Arial"/>
          <w:color w:val="000000" w:themeColor="text1"/>
          <w:sz w:val="20"/>
          <w:szCs w:val="20"/>
        </w:rPr>
        <w:t>sabato</w:t>
      </w:r>
      <w:r w:rsidR="006834E9" w:rsidRPr="00907BB2">
        <w:rPr>
          <w:rStyle w:val="apple-style-span"/>
          <w:rFonts w:ascii="Arial" w:hAnsi="Arial" w:cs="Arial"/>
          <w:color w:val="000000" w:themeColor="text1"/>
          <w:sz w:val="20"/>
          <w:szCs w:val="20"/>
        </w:rPr>
        <w:t xml:space="preserve"> </w:t>
      </w:r>
      <w:r w:rsidR="009E53DC" w:rsidRPr="00907BB2">
        <w:rPr>
          <w:rStyle w:val="apple-style-span"/>
          <w:rFonts w:ascii="Arial" w:hAnsi="Arial" w:cs="Arial"/>
          <w:color w:val="000000" w:themeColor="text1"/>
          <w:sz w:val="20"/>
          <w:szCs w:val="20"/>
        </w:rPr>
        <w:t xml:space="preserve">notte </w:t>
      </w:r>
      <w:r w:rsidR="006834E9" w:rsidRPr="00907BB2">
        <w:rPr>
          <w:rStyle w:val="apple-style-span"/>
          <w:rFonts w:ascii="Arial" w:hAnsi="Arial" w:cs="Arial"/>
          <w:color w:val="000000" w:themeColor="text1"/>
          <w:sz w:val="20"/>
          <w:szCs w:val="20"/>
        </w:rPr>
        <w:t xml:space="preserve">si concentrano il </w:t>
      </w:r>
      <w:r w:rsidR="00ED7E10">
        <w:rPr>
          <w:rStyle w:val="apple-style-span"/>
          <w:rFonts w:ascii="Arial" w:hAnsi="Arial" w:cs="Arial"/>
          <w:color w:val="000000" w:themeColor="text1"/>
          <w:sz w:val="20"/>
          <w:szCs w:val="20"/>
        </w:rPr>
        <w:t>36,6</w:t>
      </w:r>
      <w:r w:rsidR="006834E9" w:rsidRPr="00907BB2">
        <w:rPr>
          <w:rStyle w:val="apple-style-span"/>
          <w:rFonts w:ascii="Arial" w:hAnsi="Arial" w:cs="Arial"/>
          <w:color w:val="000000" w:themeColor="text1"/>
          <w:sz w:val="20"/>
          <w:szCs w:val="20"/>
        </w:rPr>
        <w:t xml:space="preserve">% degli incidenti notturni, il </w:t>
      </w:r>
      <w:r w:rsidR="00ED7E10">
        <w:rPr>
          <w:rStyle w:val="apple-style-span"/>
          <w:rFonts w:ascii="Arial" w:hAnsi="Arial" w:cs="Arial"/>
          <w:color w:val="000000" w:themeColor="text1"/>
          <w:sz w:val="20"/>
          <w:szCs w:val="20"/>
        </w:rPr>
        <w:t>25,0</w:t>
      </w:r>
      <w:r w:rsidR="006834E9" w:rsidRPr="00907BB2">
        <w:rPr>
          <w:rStyle w:val="apple-style-span"/>
          <w:rFonts w:ascii="Arial" w:hAnsi="Arial" w:cs="Arial"/>
          <w:color w:val="000000" w:themeColor="text1"/>
          <w:sz w:val="20"/>
          <w:szCs w:val="20"/>
        </w:rPr>
        <w:t xml:space="preserve">% delle vittime e il </w:t>
      </w:r>
      <w:r w:rsidR="00ED7E10">
        <w:rPr>
          <w:rStyle w:val="apple-style-span"/>
          <w:rFonts w:ascii="Arial" w:hAnsi="Arial" w:cs="Arial"/>
          <w:color w:val="000000" w:themeColor="text1"/>
          <w:sz w:val="20"/>
          <w:szCs w:val="20"/>
        </w:rPr>
        <w:t>38,6</w:t>
      </w:r>
      <w:r w:rsidR="006834E9" w:rsidRPr="00907BB2">
        <w:rPr>
          <w:rStyle w:val="apple-style-span"/>
          <w:rFonts w:ascii="Arial" w:hAnsi="Arial" w:cs="Arial"/>
          <w:color w:val="000000" w:themeColor="text1"/>
          <w:sz w:val="20"/>
          <w:szCs w:val="20"/>
        </w:rPr>
        <w:t xml:space="preserve">% dei feriti. </w:t>
      </w:r>
      <w:r w:rsidR="00920844" w:rsidRPr="00907BB2">
        <w:rPr>
          <w:rFonts w:ascii="Arial" w:hAnsi="Arial" w:cs="Arial"/>
          <w:color w:val="000000" w:themeColor="text1"/>
          <w:sz w:val="20"/>
          <w:szCs w:val="20"/>
        </w:rPr>
        <w:t xml:space="preserve">L’indice di mortalità </w:t>
      </w:r>
      <w:r w:rsidR="00AE6A39" w:rsidRPr="00907BB2">
        <w:rPr>
          <w:rFonts w:ascii="Arial" w:hAnsi="Arial" w:cs="Arial"/>
          <w:color w:val="000000" w:themeColor="text1"/>
          <w:sz w:val="20"/>
          <w:szCs w:val="20"/>
        </w:rPr>
        <w:t>dei soli i</w:t>
      </w:r>
      <w:r w:rsidR="00920844" w:rsidRPr="00907BB2">
        <w:rPr>
          <w:rFonts w:ascii="Arial" w:hAnsi="Arial" w:cs="Arial"/>
          <w:color w:val="000000" w:themeColor="text1"/>
          <w:sz w:val="20"/>
          <w:szCs w:val="20"/>
        </w:rPr>
        <w:t xml:space="preserve">ncidenti notturni è pari a </w:t>
      </w:r>
      <w:r w:rsidR="00DF2699">
        <w:rPr>
          <w:rFonts w:ascii="Arial" w:hAnsi="Arial" w:cs="Arial"/>
          <w:color w:val="000000" w:themeColor="text1"/>
          <w:sz w:val="20"/>
          <w:szCs w:val="20"/>
        </w:rPr>
        <w:t>6,1</w:t>
      </w:r>
      <w:r w:rsidR="00920844" w:rsidRPr="00907BB2">
        <w:rPr>
          <w:rFonts w:ascii="Arial" w:hAnsi="Arial" w:cs="Arial"/>
          <w:color w:val="000000" w:themeColor="text1"/>
          <w:sz w:val="20"/>
          <w:szCs w:val="20"/>
        </w:rPr>
        <w:t xml:space="preserve"> decessi ogni 100 </w:t>
      </w:r>
      <w:r w:rsidR="00920844" w:rsidRPr="00907BB2">
        <w:rPr>
          <w:rStyle w:val="apple-style-span"/>
          <w:rFonts w:ascii="Arial" w:hAnsi="Arial" w:cs="Arial"/>
          <w:color w:val="000000" w:themeColor="text1"/>
          <w:sz w:val="20"/>
          <w:szCs w:val="20"/>
        </w:rPr>
        <w:t>incidenti</w:t>
      </w:r>
      <w:r w:rsidR="00D3144D">
        <w:rPr>
          <w:rStyle w:val="apple-style-span"/>
          <w:rFonts w:ascii="Arial" w:hAnsi="Arial" w:cs="Arial"/>
          <w:color w:val="000000" w:themeColor="text1"/>
          <w:sz w:val="20"/>
          <w:szCs w:val="20"/>
        </w:rPr>
        <w:t>,</w:t>
      </w:r>
      <w:r w:rsidR="00907BB2">
        <w:rPr>
          <w:rStyle w:val="apple-style-span"/>
          <w:rFonts w:ascii="Arial" w:hAnsi="Arial" w:cs="Arial"/>
          <w:color w:val="000000" w:themeColor="text1"/>
          <w:sz w:val="20"/>
          <w:szCs w:val="20"/>
        </w:rPr>
        <w:t xml:space="preserve"> registrando il val</w:t>
      </w:r>
      <w:r w:rsidR="00FD1523">
        <w:rPr>
          <w:rStyle w:val="apple-style-span"/>
          <w:rFonts w:ascii="Arial" w:hAnsi="Arial" w:cs="Arial"/>
          <w:color w:val="000000" w:themeColor="text1"/>
          <w:sz w:val="20"/>
          <w:szCs w:val="20"/>
        </w:rPr>
        <w:t>o</w:t>
      </w:r>
      <w:r w:rsidR="00907BB2">
        <w:rPr>
          <w:rStyle w:val="apple-style-span"/>
          <w:rFonts w:ascii="Arial" w:hAnsi="Arial" w:cs="Arial"/>
          <w:color w:val="000000" w:themeColor="text1"/>
          <w:sz w:val="20"/>
          <w:szCs w:val="20"/>
        </w:rPr>
        <w:t xml:space="preserve">re più elevato il </w:t>
      </w:r>
      <w:r w:rsidR="00F877B7">
        <w:rPr>
          <w:rStyle w:val="apple-style-span"/>
          <w:rFonts w:ascii="Arial" w:hAnsi="Arial" w:cs="Arial"/>
          <w:color w:val="000000" w:themeColor="text1"/>
          <w:sz w:val="20"/>
          <w:szCs w:val="20"/>
        </w:rPr>
        <w:t xml:space="preserve">venerdì </w:t>
      </w:r>
      <w:r w:rsidR="00907BB2">
        <w:rPr>
          <w:rStyle w:val="apple-style-span"/>
          <w:rFonts w:ascii="Arial" w:hAnsi="Arial" w:cs="Arial"/>
          <w:color w:val="000000" w:themeColor="text1"/>
          <w:sz w:val="20"/>
          <w:szCs w:val="20"/>
        </w:rPr>
        <w:t>notte (</w:t>
      </w:r>
      <w:r w:rsidR="00DF2699">
        <w:rPr>
          <w:rStyle w:val="apple-style-span"/>
          <w:rFonts w:ascii="Arial" w:hAnsi="Arial" w:cs="Arial"/>
          <w:color w:val="000000" w:themeColor="text1"/>
          <w:sz w:val="20"/>
          <w:szCs w:val="20"/>
        </w:rPr>
        <w:t>10,5</w:t>
      </w:r>
      <w:r w:rsidR="00907BB2">
        <w:rPr>
          <w:rStyle w:val="apple-style-span"/>
          <w:rFonts w:ascii="Arial" w:hAnsi="Arial" w:cs="Arial"/>
          <w:color w:val="000000" w:themeColor="text1"/>
          <w:sz w:val="20"/>
          <w:szCs w:val="20"/>
        </w:rPr>
        <w:t>)</w:t>
      </w:r>
      <w:r w:rsidR="00920844" w:rsidRPr="00907BB2">
        <w:rPr>
          <w:rStyle w:val="apple-style-span"/>
          <w:rFonts w:ascii="Arial" w:hAnsi="Arial" w:cs="Arial"/>
          <w:color w:val="000000" w:themeColor="text1"/>
          <w:sz w:val="20"/>
          <w:szCs w:val="20"/>
        </w:rPr>
        <w:t>.</w:t>
      </w:r>
      <w:r w:rsidR="00920844" w:rsidRPr="006D5EB7">
        <w:rPr>
          <w:rStyle w:val="apple-style-span"/>
          <w:rFonts w:ascii="Arial" w:hAnsi="Arial" w:cs="Arial"/>
          <w:color w:val="FF0000"/>
          <w:sz w:val="20"/>
          <w:szCs w:val="20"/>
        </w:rPr>
        <w:t xml:space="preserve"> </w:t>
      </w:r>
    </w:p>
    <w:p w14:paraId="23A815F4" w14:textId="77777777" w:rsidR="00B762A1" w:rsidRDefault="00B762A1" w:rsidP="00CD11A2">
      <w:pPr>
        <w:suppressAutoHyphens/>
        <w:spacing w:after="120"/>
        <w:ind w:left="1843"/>
        <w:jc w:val="both"/>
        <w:rPr>
          <w:rStyle w:val="apple-style-span"/>
          <w:rFonts w:ascii="Arial" w:hAnsi="Arial" w:cs="Arial"/>
          <w:color w:val="FF0000"/>
          <w:sz w:val="20"/>
          <w:szCs w:val="20"/>
        </w:rPr>
      </w:pPr>
    </w:p>
    <w:p w14:paraId="3BAFFD0F" w14:textId="77777777" w:rsidR="00EB4E96" w:rsidRPr="006D5EB7" w:rsidRDefault="00EB4E96" w:rsidP="00CD11A2">
      <w:pPr>
        <w:suppressAutoHyphens/>
        <w:spacing w:after="120"/>
        <w:ind w:left="1843"/>
        <w:jc w:val="both"/>
        <w:rPr>
          <w:rStyle w:val="apple-style-span"/>
          <w:rFonts w:ascii="Arial" w:hAnsi="Arial" w:cs="Arial"/>
          <w:color w:val="FF0000"/>
          <w:sz w:val="20"/>
          <w:szCs w:val="20"/>
        </w:rPr>
      </w:pPr>
    </w:p>
    <w:tbl>
      <w:tblPr>
        <w:tblStyle w:val="Grigliatabella"/>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0"/>
        <w:gridCol w:w="3023"/>
        <w:gridCol w:w="3402"/>
      </w:tblGrid>
      <w:tr w:rsidR="00485547" w:rsidRPr="00485547" w14:paraId="30B8ED78" w14:textId="77777777" w:rsidTr="00EB4E96">
        <w:tc>
          <w:tcPr>
            <w:tcW w:w="3640" w:type="dxa"/>
          </w:tcPr>
          <w:p w14:paraId="3E034AE6" w14:textId="77777777" w:rsidR="008F317B" w:rsidRDefault="008F317B" w:rsidP="00EB4E96">
            <w:pPr>
              <w:suppressAutoHyphens/>
              <w:spacing w:before="240" w:after="120"/>
              <w:ind w:left="-108"/>
              <w:contextualSpacing/>
              <w:jc w:val="both"/>
              <w:rPr>
                <w:rFonts w:ascii="Arial Narrow" w:hAnsi="Arial Narrow" w:cs="Arial"/>
                <w:b/>
                <w:bCs/>
                <w:iCs/>
                <w:caps/>
                <w:color w:val="808080" w:themeColor="background1" w:themeShade="80"/>
                <w:sz w:val="20"/>
                <w:szCs w:val="20"/>
              </w:rPr>
            </w:pPr>
          </w:p>
          <w:p w14:paraId="025F07E3" w14:textId="5E31F7FB" w:rsidR="00A43C3C" w:rsidRPr="00985D39" w:rsidRDefault="00670B37" w:rsidP="00EB4E96">
            <w:pPr>
              <w:suppressAutoHyphens/>
              <w:spacing w:before="240" w:after="120"/>
              <w:ind w:left="-108"/>
              <w:contextualSpacing/>
              <w:jc w:val="both"/>
              <w:rPr>
                <w:rFonts w:ascii="Arial Narrow" w:hAnsi="Arial Narrow" w:cs="Arial"/>
                <w:b/>
                <w:color w:val="808080" w:themeColor="background1" w:themeShade="80"/>
                <w:spacing w:val="-4"/>
                <w:sz w:val="18"/>
                <w:szCs w:val="18"/>
              </w:rPr>
            </w:pPr>
            <w:r w:rsidRPr="00985D39">
              <w:rPr>
                <w:rFonts w:ascii="Arial Narrow" w:hAnsi="Arial Narrow" w:cs="Arial"/>
                <w:b/>
                <w:bCs/>
                <w:iCs/>
                <w:caps/>
                <w:color w:val="808080" w:themeColor="background1" w:themeShade="80"/>
                <w:sz w:val="20"/>
                <w:szCs w:val="20"/>
              </w:rPr>
              <w:t>Figura</w:t>
            </w:r>
            <w:r w:rsidR="00E01A37" w:rsidRPr="00985D39">
              <w:rPr>
                <w:rFonts w:ascii="Arial Narrow" w:hAnsi="Arial Narrow" w:cs="Arial"/>
                <w:b/>
                <w:bCs/>
                <w:iCs/>
                <w:caps/>
                <w:color w:val="808080" w:themeColor="background1" w:themeShade="80"/>
                <w:sz w:val="20"/>
                <w:szCs w:val="20"/>
              </w:rPr>
              <w:t xml:space="preserve"> </w:t>
            </w:r>
            <w:r w:rsidR="00A9331C" w:rsidRPr="00985D39">
              <w:rPr>
                <w:rFonts w:ascii="Arial Narrow" w:hAnsi="Arial Narrow" w:cs="Arial"/>
                <w:b/>
                <w:bCs/>
                <w:iCs/>
                <w:caps/>
                <w:color w:val="808080" w:themeColor="background1" w:themeShade="80"/>
                <w:sz w:val="20"/>
                <w:szCs w:val="20"/>
              </w:rPr>
              <w:t>5</w:t>
            </w:r>
            <w:r w:rsidR="00A529A1" w:rsidRPr="00985D39">
              <w:rPr>
                <w:rFonts w:ascii="Arial Narrow" w:hAnsi="Arial Narrow" w:cs="Arial"/>
                <w:b/>
                <w:bCs/>
                <w:iCs/>
                <w:caps/>
                <w:color w:val="808080" w:themeColor="background1" w:themeShade="80"/>
                <w:sz w:val="20"/>
                <w:szCs w:val="20"/>
              </w:rPr>
              <w:t xml:space="preserve">. </w:t>
            </w:r>
            <w:r w:rsidR="00EB3039" w:rsidRPr="00985D39">
              <w:rPr>
                <w:rFonts w:ascii="Arial Narrow" w:hAnsi="Arial Narrow" w:cs="Arial"/>
                <w:b/>
                <w:bCs/>
                <w:iCs/>
                <w:caps/>
                <w:color w:val="808080" w:themeColor="background1" w:themeShade="80"/>
                <w:sz w:val="20"/>
                <w:szCs w:val="20"/>
              </w:rPr>
              <w:t>Incidenti stradali, m</w:t>
            </w:r>
            <w:r w:rsidRPr="00985D39">
              <w:rPr>
                <w:rFonts w:ascii="Arial Narrow" w:hAnsi="Arial Narrow" w:cs="Arial"/>
                <w:b/>
                <w:bCs/>
                <w:iCs/>
                <w:caps/>
                <w:color w:val="808080" w:themeColor="background1" w:themeShade="80"/>
                <w:sz w:val="20"/>
                <w:szCs w:val="20"/>
              </w:rPr>
              <w:t xml:space="preserve">orti </w:t>
            </w:r>
            <w:r w:rsidR="00EB3039" w:rsidRPr="00985D39">
              <w:rPr>
                <w:rFonts w:ascii="Arial Narrow" w:hAnsi="Arial Narrow" w:cs="Arial"/>
                <w:b/>
                <w:bCs/>
                <w:iCs/>
                <w:caps/>
                <w:color w:val="808080" w:themeColor="background1" w:themeShade="80"/>
                <w:sz w:val="20"/>
                <w:szCs w:val="20"/>
              </w:rPr>
              <w:t xml:space="preserve">e feriti </w:t>
            </w:r>
            <w:r w:rsidRPr="00985D39">
              <w:rPr>
                <w:rFonts w:ascii="Arial Narrow" w:hAnsi="Arial Narrow" w:cs="Arial"/>
                <w:b/>
                <w:bCs/>
                <w:iCs/>
                <w:caps/>
                <w:color w:val="808080" w:themeColor="background1" w:themeShade="80"/>
                <w:sz w:val="20"/>
                <w:szCs w:val="20"/>
              </w:rPr>
              <w:t>per</w:t>
            </w:r>
            <w:r w:rsidR="00EB3039" w:rsidRPr="00985D39">
              <w:rPr>
                <w:rFonts w:ascii="Arial Narrow" w:hAnsi="Arial Narrow" w:cs="Arial"/>
                <w:b/>
                <w:bCs/>
                <w:iCs/>
                <w:caps/>
                <w:color w:val="808080" w:themeColor="background1" w:themeShade="80"/>
                <w:sz w:val="20"/>
                <w:szCs w:val="20"/>
              </w:rPr>
              <w:t xml:space="preserve"> mese</w:t>
            </w:r>
            <w:r w:rsidR="00A529A1" w:rsidRPr="00985D39">
              <w:rPr>
                <w:rFonts w:ascii="Arial Narrow" w:hAnsi="Arial Narrow" w:cs="Arial"/>
                <w:b/>
                <w:bCs/>
                <w:iCs/>
                <w:caps/>
                <w:color w:val="808080" w:themeColor="background1" w:themeShade="80"/>
                <w:sz w:val="20"/>
                <w:szCs w:val="20"/>
              </w:rPr>
              <w:t xml:space="preserve">, </w:t>
            </w:r>
            <w:r w:rsidR="00A1310C">
              <w:rPr>
                <w:rFonts w:ascii="Arial Narrow" w:hAnsi="Arial Narrow" w:cs="Arial"/>
                <w:b/>
                <w:bCs/>
                <w:iCs/>
                <w:caps/>
                <w:color w:val="808080" w:themeColor="background1" w:themeShade="80"/>
                <w:sz w:val="20"/>
                <w:szCs w:val="20"/>
              </w:rPr>
              <w:t>BASILICATA</w:t>
            </w:r>
            <w:r w:rsidR="00E0356E" w:rsidRPr="00985D39">
              <w:rPr>
                <w:rFonts w:ascii="Arial Narrow" w:hAnsi="Arial Narrow" w:cs="Arial"/>
                <w:b/>
                <w:bCs/>
                <w:iCs/>
                <w:caps/>
                <w:color w:val="808080" w:themeColor="background1" w:themeShade="80"/>
                <w:sz w:val="20"/>
                <w:szCs w:val="20"/>
              </w:rPr>
              <w:t>.</w:t>
            </w:r>
          </w:p>
          <w:p w14:paraId="12BE4591" w14:textId="2E8B0E06" w:rsidR="00670B37" w:rsidRPr="00485547" w:rsidRDefault="00670B37" w:rsidP="002D2B9F">
            <w:pPr>
              <w:suppressAutoHyphens/>
              <w:spacing w:after="120"/>
              <w:ind w:left="-108"/>
              <w:contextualSpacing/>
              <w:jc w:val="both"/>
              <w:rPr>
                <w:rFonts w:ascii="Arial Narrow" w:hAnsi="Arial Narrow" w:cs="Arial"/>
                <w:bCs/>
                <w:sz w:val="20"/>
                <w:szCs w:val="20"/>
              </w:rPr>
            </w:pPr>
            <w:r w:rsidRPr="00485547">
              <w:rPr>
                <w:rFonts w:ascii="Arial Narrow" w:hAnsi="Arial Narrow" w:cs="Arial"/>
                <w:sz w:val="19"/>
                <w:szCs w:val="19"/>
              </w:rPr>
              <w:t xml:space="preserve">Anno </w:t>
            </w:r>
            <w:r w:rsidR="00057394" w:rsidRPr="00485547">
              <w:rPr>
                <w:rFonts w:ascii="Arial Narrow" w:hAnsi="Arial Narrow" w:cs="Arial"/>
                <w:sz w:val="19"/>
                <w:szCs w:val="19"/>
              </w:rPr>
              <w:t>20</w:t>
            </w:r>
            <w:r w:rsidR="001A4958">
              <w:rPr>
                <w:rFonts w:ascii="Arial Narrow" w:hAnsi="Arial Narrow" w:cs="Arial"/>
                <w:sz w:val="19"/>
                <w:szCs w:val="19"/>
              </w:rPr>
              <w:t>2</w:t>
            </w:r>
            <w:r w:rsidR="0058258F">
              <w:rPr>
                <w:rFonts w:ascii="Arial Narrow" w:hAnsi="Arial Narrow" w:cs="Arial"/>
                <w:sz w:val="19"/>
                <w:szCs w:val="19"/>
              </w:rPr>
              <w:t>1</w:t>
            </w:r>
            <w:r w:rsidR="00EB3039" w:rsidRPr="00485547">
              <w:rPr>
                <w:rFonts w:ascii="Arial Narrow" w:hAnsi="Arial Narrow" w:cs="Arial"/>
                <w:sz w:val="19"/>
                <w:szCs w:val="19"/>
              </w:rPr>
              <w:t>, composizioni percentuali</w:t>
            </w:r>
          </w:p>
        </w:tc>
        <w:tc>
          <w:tcPr>
            <w:tcW w:w="3023" w:type="dxa"/>
          </w:tcPr>
          <w:p w14:paraId="287F84B3" w14:textId="77777777" w:rsidR="00B77074" w:rsidRPr="00485547" w:rsidRDefault="00B77074" w:rsidP="00A43C3C">
            <w:pPr>
              <w:suppressAutoHyphens/>
              <w:contextualSpacing/>
              <w:rPr>
                <w:rFonts w:ascii="Arial Narrow" w:hAnsi="Arial Narrow" w:cs="Arial"/>
                <w:b/>
                <w:bCs/>
                <w:iCs/>
                <w:caps/>
                <w:sz w:val="2"/>
                <w:szCs w:val="20"/>
              </w:rPr>
            </w:pPr>
          </w:p>
          <w:p w14:paraId="3F129A46" w14:textId="683DFE7F" w:rsidR="00A43C3C" w:rsidRPr="00985D39" w:rsidRDefault="00833459" w:rsidP="00A43C3C">
            <w:pPr>
              <w:suppressAutoHyphens/>
              <w:contextualSpacing/>
              <w:rPr>
                <w:rFonts w:ascii="Arial Narrow" w:hAnsi="Arial Narrow" w:cs="Arial"/>
                <w:b/>
                <w:color w:val="808080" w:themeColor="background1" w:themeShade="80"/>
                <w:spacing w:val="-4"/>
                <w:sz w:val="18"/>
                <w:szCs w:val="18"/>
              </w:rPr>
            </w:pPr>
            <w:r w:rsidRPr="00985D39">
              <w:rPr>
                <w:rFonts w:ascii="Arial Narrow" w:hAnsi="Arial Narrow" w:cs="Arial"/>
                <w:b/>
                <w:bCs/>
                <w:iCs/>
                <w:caps/>
                <w:color w:val="808080" w:themeColor="background1" w:themeShade="80"/>
                <w:sz w:val="20"/>
                <w:szCs w:val="20"/>
              </w:rPr>
              <w:t>Figura</w:t>
            </w:r>
            <w:r w:rsidR="00E01A37" w:rsidRPr="00985D39">
              <w:rPr>
                <w:rFonts w:ascii="Arial Narrow" w:hAnsi="Arial Narrow" w:cs="Arial"/>
                <w:b/>
                <w:bCs/>
                <w:iCs/>
                <w:caps/>
                <w:color w:val="808080" w:themeColor="background1" w:themeShade="80"/>
                <w:sz w:val="20"/>
                <w:szCs w:val="20"/>
              </w:rPr>
              <w:t xml:space="preserve"> </w:t>
            </w:r>
            <w:r w:rsidR="00A9331C" w:rsidRPr="00985D39">
              <w:rPr>
                <w:rFonts w:ascii="Arial Narrow" w:hAnsi="Arial Narrow" w:cs="Arial"/>
                <w:b/>
                <w:bCs/>
                <w:iCs/>
                <w:caps/>
                <w:color w:val="808080" w:themeColor="background1" w:themeShade="80"/>
                <w:sz w:val="20"/>
                <w:szCs w:val="20"/>
              </w:rPr>
              <w:t>6</w:t>
            </w:r>
            <w:r w:rsidR="00A529A1" w:rsidRPr="00985D39">
              <w:rPr>
                <w:rFonts w:ascii="Arial Narrow" w:hAnsi="Arial Narrow" w:cs="Arial"/>
                <w:b/>
                <w:bCs/>
                <w:iCs/>
                <w:caps/>
                <w:color w:val="808080" w:themeColor="background1" w:themeShade="80"/>
                <w:sz w:val="20"/>
                <w:szCs w:val="20"/>
              </w:rPr>
              <w:t xml:space="preserve">. </w:t>
            </w:r>
            <w:r w:rsidRPr="00985D39">
              <w:rPr>
                <w:rFonts w:ascii="Arial Narrow" w:hAnsi="Arial Narrow" w:cs="Arial"/>
                <w:b/>
                <w:bCs/>
                <w:iCs/>
                <w:caps/>
                <w:color w:val="808080" w:themeColor="background1" w:themeShade="80"/>
                <w:sz w:val="20"/>
                <w:szCs w:val="20"/>
              </w:rPr>
              <w:t>Incidenti stradali con lesioni a persone per ora del giorno</w:t>
            </w:r>
            <w:r w:rsidR="00E0356E" w:rsidRPr="00985D39">
              <w:rPr>
                <w:rFonts w:ascii="Arial Narrow" w:hAnsi="Arial Narrow" w:cs="Arial"/>
                <w:b/>
                <w:bCs/>
                <w:iCs/>
                <w:caps/>
                <w:color w:val="808080" w:themeColor="background1" w:themeShade="80"/>
                <w:sz w:val="20"/>
                <w:szCs w:val="20"/>
              </w:rPr>
              <w:t>,</w:t>
            </w:r>
            <w:r w:rsidR="00AD2B54" w:rsidRPr="00985D39">
              <w:rPr>
                <w:rFonts w:ascii="Arial Narrow" w:hAnsi="Arial Narrow" w:cs="Arial"/>
                <w:b/>
                <w:bCs/>
                <w:iCs/>
                <w:caps/>
                <w:color w:val="808080" w:themeColor="background1" w:themeShade="80"/>
                <w:sz w:val="20"/>
                <w:szCs w:val="20"/>
              </w:rPr>
              <w:t xml:space="preserve"> </w:t>
            </w:r>
            <w:r w:rsidR="00A1310C">
              <w:rPr>
                <w:rFonts w:ascii="Arial Narrow" w:hAnsi="Arial Narrow" w:cs="Arial"/>
                <w:b/>
                <w:bCs/>
                <w:iCs/>
                <w:caps/>
                <w:color w:val="808080" w:themeColor="background1" w:themeShade="80"/>
                <w:sz w:val="20"/>
                <w:szCs w:val="20"/>
              </w:rPr>
              <w:t>BASILICATA</w:t>
            </w:r>
          </w:p>
          <w:p w14:paraId="47B541B3" w14:textId="20D98670" w:rsidR="00670B37" w:rsidRPr="00485547" w:rsidRDefault="00833459" w:rsidP="008C7E86">
            <w:pPr>
              <w:suppressAutoHyphens/>
              <w:ind w:left="3"/>
              <w:contextualSpacing/>
              <w:rPr>
                <w:rFonts w:ascii="Arial" w:hAnsi="Arial" w:cs="Arial"/>
                <w:bCs/>
                <w:sz w:val="20"/>
                <w:szCs w:val="20"/>
              </w:rPr>
            </w:pPr>
            <w:r w:rsidRPr="00485547">
              <w:rPr>
                <w:rFonts w:ascii="Arial Narrow" w:hAnsi="Arial Narrow" w:cs="Arial"/>
                <w:sz w:val="19"/>
                <w:szCs w:val="19"/>
              </w:rPr>
              <w:t xml:space="preserve">Anno </w:t>
            </w:r>
            <w:r w:rsidR="00057394" w:rsidRPr="00485547">
              <w:rPr>
                <w:rFonts w:ascii="Arial Narrow" w:hAnsi="Arial Narrow" w:cs="Arial"/>
                <w:sz w:val="19"/>
                <w:szCs w:val="19"/>
              </w:rPr>
              <w:t>20</w:t>
            </w:r>
            <w:r w:rsidR="001A4958">
              <w:rPr>
                <w:rFonts w:ascii="Arial Narrow" w:hAnsi="Arial Narrow" w:cs="Arial"/>
                <w:sz w:val="19"/>
                <w:szCs w:val="19"/>
              </w:rPr>
              <w:t>2</w:t>
            </w:r>
            <w:r w:rsidR="0058258F">
              <w:rPr>
                <w:rFonts w:ascii="Arial Narrow" w:hAnsi="Arial Narrow" w:cs="Arial"/>
                <w:sz w:val="19"/>
                <w:szCs w:val="19"/>
              </w:rPr>
              <w:t>1</w:t>
            </w:r>
            <w:r w:rsidRPr="00485547">
              <w:rPr>
                <w:rFonts w:ascii="Arial Narrow" w:hAnsi="Arial Narrow" w:cs="Arial"/>
                <w:sz w:val="19"/>
                <w:szCs w:val="19"/>
              </w:rPr>
              <w:t>, valori</w:t>
            </w:r>
            <w:r w:rsidR="00336B87" w:rsidRPr="00485547">
              <w:rPr>
                <w:rFonts w:ascii="Arial Narrow" w:hAnsi="Arial Narrow" w:cs="Arial"/>
                <w:sz w:val="19"/>
                <w:szCs w:val="19"/>
              </w:rPr>
              <w:t xml:space="preserve"> </w:t>
            </w:r>
            <w:r w:rsidRPr="00485547">
              <w:rPr>
                <w:rFonts w:ascii="Arial Narrow" w:hAnsi="Arial Narrow" w:cs="Arial"/>
                <w:sz w:val="19"/>
                <w:szCs w:val="19"/>
              </w:rPr>
              <w:t>percentuali</w:t>
            </w:r>
          </w:p>
        </w:tc>
        <w:tc>
          <w:tcPr>
            <w:tcW w:w="3402" w:type="dxa"/>
          </w:tcPr>
          <w:p w14:paraId="0FA65ACE" w14:textId="514E08C2" w:rsidR="00A43C3C" w:rsidRPr="00985D39" w:rsidRDefault="00833459" w:rsidP="00B23E06">
            <w:pPr>
              <w:suppressAutoHyphens/>
              <w:contextualSpacing/>
              <w:jc w:val="both"/>
              <w:rPr>
                <w:rFonts w:ascii="Arial Narrow" w:hAnsi="Arial Narrow" w:cs="Arial"/>
                <w:b/>
                <w:color w:val="808080" w:themeColor="background1" w:themeShade="80"/>
                <w:spacing w:val="-4"/>
                <w:sz w:val="18"/>
                <w:szCs w:val="18"/>
              </w:rPr>
            </w:pPr>
            <w:r w:rsidRPr="00985D39">
              <w:rPr>
                <w:rFonts w:ascii="Arial Narrow" w:hAnsi="Arial Narrow" w:cs="Arial"/>
                <w:b/>
                <w:bCs/>
                <w:iCs/>
                <w:caps/>
                <w:color w:val="808080" w:themeColor="background1" w:themeShade="80"/>
                <w:sz w:val="20"/>
                <w:szCs w:val="20"/>
              </w:rPr>
              <w:t>Figura</w:t>
            </w:r>
            <w:r w:rsidR="00E01A37" w:rsidRPr="00985D39">
              <w:rPr>
                <w:rFonts w:ascii="Arial Narrow" w:hAnsi="Arial Narrow" w:cs="Arial"/>
                <w:b/>
                <w:bCs/>
                <w:iCs/>
                <w:caps/>
                <w:color w:val="808080" w:themeColor="background1" w:themeShade="80"/>
                <w:sz w:val="20"/>
                <w:szCs w:val="20"/>
              </w:rPr>
              <w:t xml:space="preserve"> </w:t>
            </w:r>
            <w:r w:rsidR="00A9331C" w:rsidRPr="00985D39">
              <w:rPr>
                <w:rFonts w:ascii="Arial Narrow" w:hAnsi="Arial Narrow" w:cs="Arial"/>
                <w:b/>
                <w:bCs/>
                <w:iCs/>
                <w:caps/>
                <w:color w:val="808080" w:themeColor="background1" w:themeShade="80"/>
                <w:sz w:val="20"/>
                <w:szCs w:val="20"/>
              </w:rPr>
              <w:t>7</w:t>
            </w:r>
            <w:r w:rsidR="00A529A1" w:rsidRPr="00985D39">
              <w:rPr>
                <w:rFonts w:ascii="Arial Narrow" w:hAnsi="Arial Narrow" w:cs="Arial"/>
                <w:b/>
                <w:bCs/>
                <w:iCs/>
                <w:caps/>
                <w:color w:val="808080" w:themeColor="background1" w:themeShade="80"/>
                <w:sz w:val="20"/>
                <w:szCs w:val="20"/>
              </w:rPr>
              <w:t>. I</w:t>
            </w:r>
            <w:r w:rsidRPr="00985D39">
              <w:rPr>
                <w:rFonts w:ascii="Arial Narrow" w:hAnsi="Arial Narrow" w:cs="Arial"/>
                <w:b/>
                <w:bCs/>
                <w:iCs/>
                <w:caps/>
                <w:color w:val="808080" w:themeColor="background1" w:themeShade="80"/>
                <w:sz w:val="20"/>
                <w:szCs w:val="20"/>
              </w:rPr>
              <w:t>ncidenti stradali con lesioni a persone per ora del giorno</w:t>
            </w:r>
            <w:r w:rsidR="00A529A1" w:rsidRPr="00985D39">
              <w:rPr>
                <w:rFonts w:ascii="Arial Narrow" w:hAnsi="Arial Narrow" w:cs="Arial"/>
                <w:b/>
                <w:bCs/>
                <w:iCs/>
                <w:caps/>
                <w:color w:val="808080" w:themeColor="background1" w:themeShade="80"/>
                <w:sz w:val="20"/>
                <w:szCs w:val="20"/>
              </w:rPr>
              <w:t xml:space="preserve">, </w:t>
            </w:r>
            <w:r w:rsidR="00A1310C">
              <w:rPr>
                <w:rFonts w:ascii="Arial Narrow" w:hAnsi="Arial Narrow" w:cs="Arial"/>
                <w:b/>
                <w:bCs/>
                <w:iCs/>
                <w:caps/>
                <w:color w:val="808080" w:themeColor="background1" w:themeShade="80"/>
                <w:sz w:val="20"/>
                <w:szCs w:val="20"/>
              </w:rPr>
              <w:t>BASILICATA</w:t>
            </w:r>
          </w:p>
          <w:p w14:paraId="7BF63E17" w14:textId="349B3FE4" w:rsidR="00670B37" w:rsidRPr="00485547" w:rsidRDefault="00833459" w:rsidP="006F29EC">
            <w:pPr>
              <w:suppressAutoHyphens/>
              <w:contextualSpacing/>
              <w:jc w:val="both"/>
              <w:rPr>
                <w:rFonts w:ascii="Arial" w:hAnsi="Arial" w:cs="Arial"/>
                <w:bCs/>
                <w:sz w:val="20"/>
                <w:szCs w:val="20"/>
              </w:rPr>
            </w:pPr>
            <w:r w:rsidRPr="00485547">
              <w:rPr>
                <w:rFonts w:ascii="Arial Narrow" w:hAnsi="Arial Narrow" w:cs="Arial"/>
                <w:sz w:val="19"/>
                <w:szCs w:val="19"/>
              </w:rPr>
              <w:t xml:space="preserve">Anno </w:t>
            </w:r>
            <w:r w:rsidR="00057394" w:rsidRPr="00485547">
              <w:rPr>
                <w:rFonts w:ascii="Arial Narrow" w:hAnsi="Arial Narrow" w:cs="Arial"/>
                <w:sz w:val="19"/>
                <w:szCs w:val="19"/>
              </w:rPr>
              <w:t>20</w:t>
            </w:r>
            <w:r w:rsidR="001A4958">
              <w:rPr>
                <w:rFonts w:ascii="Arial Narrow" w:hAnsi="Arial Narrow" w:cs="Arial"/>
                <w:sz w:val="19"/>
                <w:szCs w:val="19"/>
              </w:rPr>
              <w:t>2</w:t>
            </w:r>
            <w:r w:rsidR="0058258F">
              <w:rPr>
                <w:rFonts w:ascii="Arial Narrow" w:hAnsi="Arial Narrow" w:cs="Arial"/>
                <w:sz w:val="19"/>
                <w:szCs w:val="19"/>
              </w:rPr>
              <w:t>1</w:t>
            </w:r>
            <w:r w:rsidRPr="00485547">
              <w:rPr>
                <w:rFonts w:ascii="Arial Narrow" w:hAnsi="Arial Narrow" w:cs="Arial"/>
                <w:sz w:val="19"/>
                <w:szCs w:val="19"/>
              </w:rPr>
              <w:t>, indice di mortalità</w:t>
            </w:r>
          </w:p>
        </w:tc>
      </w:tr>
    </w:tbl>
    <w:p w14:paraId="417AEAD6" w14:textId="286E3226" w:rsidR="00A1334C" w:rsidRPr="006D5EB7" w:rsidRDefault="00B86968" w:rsidP="00637359">
      <w:pPr>
        <w:keepNext/>
        <w:keepLines/>
        <w:pBdr>
          <w:top w:val="single" w:sz="4" w:space="1" w:color="auto"/>
          <w:bottom w:val="single" w:sz="4" w:space="1" w:color="auto"/>
        </w:pBdr>
        <w:suppressAutoHyphens/>
        <w:spacing w:after="120"/>
        <w:rPr>
          <w:rFonts w:ascii="Arial" w:hAnsi="Arial" w:cs="Arial"/>
          <w:b/>
          <w:color w:val="FF0000"/>
          <w:sz w:val="22"/>
          <w:szCs w:val="22"/>
        </w:rPr>
      </w:pPr>
      <w:r w:rsidRPr="00B86968">
        <w:rPr>
          <w:noProof/>
        </w:rPr>
        <w:t xml:space="preserve"> </w:t>
      </w:r>
      <w:r w:rsidR="00B23BCD">
        <w:rPr>
          <w:noProof/>
        </w:rPr>
        <w:drawing>
          <wp:inline distT="0" distB="0" distL="0" distR="0" wp14:anchorId="5AD18322" wp14:editId="32A091CF">
            <wp:extent cx="2160000" cy="1972560"/>
            <wp:effectExtent l="0" t="0" r="0" b="8890"/>
            <wp:docPr id="26" name="Grafico 26">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B86968">
        <w:rPr>
          <w:noProof/>
        </w:rPr>
        <w:t xml:space="preserve"> </w:t>
      </w:r>
      <w:r w:rsidR="00B23BCD">
        <w:rPr>
          <w:noProof/>
        </w:rPr>
        <w:drawing>
          <wp:inline distT="0" distB="0" distL="0" distR="0" wp14:anchorId="439356DA" wp14:editId="0A96A6A0">
            <wp:extent cx="1977390" cy="2019300"/>
            <wp:effectExtent l="0" t="0" r="3810" b="0"/>
            <wp:docPr id="27" name="Grafico 27">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FC5637" w:rsidRPr="00FC5637">
        <w:rPr>
          <w:noProof/>
        </w:rPr>
        <w:t xml:space="preserve"> </w:t>
      </w:r>
      <w:r w:rsidR="00FC5637">
        <w:rPr>
          <w:noProof/>
        </w:rPr>
        <w:drawing>
          <wp:inline distT="0" distB="0" distL="0" distR="0" wp14:anchorId="0C50B439" wp14:editId="221BEB14">
            <wp:extent cx="2114550" cy="1847850"/>
            <wp:effectExtent l="0" t="0" r="0" b="0"/>
            <wp:docPr id="28" name="Grafico 28">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AA3E7D" w:rsidRPr="006D5EB7">
        <w:rPr>
          <w:rFonts w:ascii="Arial" w:hAnsi="Arial" w:cs="Arial"/>
          <w:b/>
          <w:color w:val="FF0000"/>
          <w:sz w:val="22"/>
          <w:szCs w:val="22"/>
          <w:highlight w:val="yellow"/>
        </w:rPr>
        <w:t xml:space="preserve"> </w:t>
      </w:r>
      <w:r w:rsidR="002139F3" w:rsidRPr="006D5EB7">
        <w:rPr>
          <w:rFonts w:ascii="Arial" w:hAnsi="Arial" w:cs="Arial"/>
          <w:b/>
          <w:color w:val="FF0000"/>
          <w:sz w:val="22"/>
          <w:szCs w:val="22"/>
          <w:highlight w:val="yellow"/>
        </w:rPr>
        <w:fldChar w:fldCharType="begin"/>
      </w:r>
      <w:r w:rsidR="00B836DD" w:rsidRPr="006D5EB7">
        <w:rPr>
          <w:rFonts w:ascii="Arial" w:hAnsi="Arial" w:cs="Arial"/>
          <w:b/>
          <w:color w:val="FF0000"/>
          <w:sz w:val="22"/>
          <w:szCs w:val="22"/>
          <w:highlight w:val="yellow"/>
        </w:rPr>
        <w:instrText xml:space="preserve"> LINK Excel.Sheet.12 "G:\\inc_str\\2015\\grafici\\formattati\\ultima versione-14-10\\Figura 5 ex 11.1 pag.4.xlsx!Camapnia![Figura 5 ex 11.1 pag.4.xlsx]Camapnia Grafico 1" "" \a \p </w:instrText>
      </w:r>
      <w:r w:rsidR="009D111F" w:rsidRPr="006D5EB7">
        <w:rPr>
          <w:rFonts w:ascii="Arial" w:hAnsi="Arial" w:cs="Arial"/>
          <w:b/>
          <w:color w:val="FF0000"/>
          <w:sz w:val="22"/>
          <w:szCs w:val="22"/>
          <w:highlight w:val="yellow"/>
        </w:rPr>
        <w:instrText xml:space="preserve"> \* MERGEFORMAT </w:instrText>
      </w:r>
      <w:r w:rsidR="002139F3" w:rsidRPr="006D5EB7">
        <w:rPr>
          <w:rFonts w:ascii="Arial" w:hAnsi="Arial" w:cs="Arial"/>
          <w:b/>
          <w:color w:val="FF0000"/>
          <w:sz w:val="22"/>
          <w:szCs w:val="22"/>
          <w:highlight w:val="yellow"/>
        </w:rPr>
        <w:fldChar w:fldCharType="end"/>
      </w:r>
    </w:p>
    <w:p w14:paraId="622C19CD" w14:textId="43BCEDA5" w:rsidR="006413BF" w:rsidRPr="00985D39" w:rsidRDefault="006413BF" w:rsidP="001917AF">
      <w:pPr>
        <w:keepNext/>
        <w:keepLines/>
        <w:suppressAutoHyphens/>
        <w:spacing w:before="240"/>
        <w:jc w:val="both"/>
        <w:rPr>
          <w:rFonts w:ascii="Arial" w:hAnsi="Arial" w:cs="Arial"/>
          <w:color w:val="FF0000"/>
          <w:sz w:val="10"/>
          <w:szCs w:val="10"/>
        </w:rPr>
      </w:pPr>
    </w:p>
    <w:p w14:paraId="6B2B9FE6" w14:textId="77777777" w:rsidR="00F54AC8" w:rsidRDefault="00F54AC8" w:rsidP="00985D39">
      <w:pPr>
        <w:keepNext/>
        <w:keepLines/>
        <w:suppressAutoHyphens/>
        <w:spacing w:after="120"/>
        <w:jc w:val="both"/>
        <w:rPr>
          <w:rFonts w:ascii="Arial" w:hAnsi="Arial" w:cs="Arial"/>
          <w:b/>
          <w:color w:val="000000" w:themeColor="text1"/>
          <w:sz w:val="22"/>
          <w:szCs w:val="22"/>
        </w:rPr>
      </w:pPr>
    </w:p>
    <w:p w14:paraId="63FEDA46" w14:textId="5198BA30" w:rsidR="00A1334C" w:rsidRPr="005473B9" w:rsidRDefault="002B284F" w:rsidP="00985D39">
      <w:pPr>
        <w:keepNext/>
        <w:keepLines/>
        <w:suppressAutoHyphens/>
        <w:spacing w:after="120"/>
        <w:jc w:val="both"/>
        <w:rPr>
          <w:rFonts w:ascii="Arial" w:hAnsi="Arial" w:cs="Arial"/>
          <w:b/>
          <w:color w:val="000000" w:themeColor="text1"/>
          <w:sz w:val="22"/>
          <w:szCs w:val="22"/>
        </w:rPr>
      </w:pPr>
      <w:r w:rsidRPr="005473B9">
        <w:rPr>
          <w:rFonts w:ascii="Arial" w:hAnsi="Arial" w:cs="Arial"/>
          <w:b/>
          <w:color w:val="000000" w:themeColor="text1"/>
          <w:sz w:val="22"/>
          <w:szCs w:val="22"/>
        </w:rPr>
        <w:t>Gli incidenti stradali nelle aree urbane, intermedie e periferiche</w:t>
      </w:r>
    </w:p>
    <w:p w14:paraId="1C889E2A" w14:textId="0A37E04B" w:rsidR="00EB3DEC" w:rsidRPr="006F29EC" w:rsidRDefault="00EB3DEC" w:rsidP="00EB3DEC">
      <w:pPr>
        <w:pStyle w:val="Paragrafoelenco"/>
        <w:widowControl w:val="0"/>
        <w:suppressAutoHyphens/>
        <w:spacing w:after="120" w:line="240" w:lineRule="auto"/>
        <w:ind w:left="0"/>
        <w:contextualSpacing w:val="0"/>
        <w:jc w:val="both"/>
        <w:rPr>
          <w:rFonts w:ascii="Arial" w:hAnsi="Arial" w:cs="Arial"/>
          <w:bCs/>
          <w:color w:val="000000" w:themeColor="text1"/>
          <w:sz w:val="20"/>
          <w:szCs w:val="20"/>
          <w:u w:val="single"/>
        </w:rPr>
      </w:pPr>
      <w:r w:rsidRPr="006F29EC">
        <w:rPr>
          <w:rFonts w:ascii="Arial" w:hAnsi="Arial" w:cs="Arial"/>
          <w:bCs/>
          <w:color w:val="000000" w:themeColor="text1"/>
          <w:sz w:val="20"/>
          <w:szCs w:val="20"/>
        </w:rPr>
        <w:t xml:space="preserve">In </w:t>
      </w:r>
      <w:r>
        <w:rPr>
          <w:rFonts w:ascii="Arial" w:hAnsi="Arial" w:cs="Arial"/>
          <w:bCs/>
          <w:color w:val="000000" w:themeColor="text1"/>
          <w:sz w:val="20"/>
          <w:szCs w:val="20"/>
        </w:rPr>
        <w:t>Basilicata</w:t>
      </w:r>
      <w:r w:rsidRPr="006F29EC">
        <w:rPr>
          <w:rFonts w:ascii="Arial" w:hAnsi="Arial" w:cs="Arial"/>
          <w:bCs/>
          <w:color w:val="000000" w:themeColor="text1"/>
          <w:sz w:val="20"/>
          <w:szCs w:val="20"/>
        </w:rPr>
        <w:t xml:space="preserve"> il </w:t>
      </w:r>
      <w:r w:rsidR="00DF2699">
        <w:rPr>
          <w:rFonts w:ascii="Arial" w:hAnsi="Arial" w:cs="Arial"/>
          <w:bCs/>
          <w:color w:val="000000" w:themeColor="text1"/>
          <w:sz w:val="20"/>
          <w:szCs w:val="20"/>
        </w:rPr>
        <w:t>18,1</w:t>
      </w:r>
      <w:r w:rsidRPr="006F29EC">
        <w:rPr>
          <w:rFonts w:ascii="Arial" w:hAnsi="Arial" w:cs="Arial"/>
          <w:bCs/>
          <w:color w:val="000000" w:themeColor="text1"/>
          <w:sz w:val="20"/>
          <w:szCs w:val="20"/>
        </w:rPr>
        <w:t>% degli incidenti stradali è concentrato nei Poli urbani</w:t>
      </w:r>
      <w:r w:rsidRPr="006F29EC">
        <w:rPr>
          <w:rStyle w:val="Rimandonotaapidipagina"/>
          <w:rFonts w:ascii="Arial" w:hAnsi="Arial" w:cs="Arial"/>
          <w:bCs/>
          <w:color w:val="000000" w:themeColor="text1"/>
          <w:sz w:val="20"/>
          <w:szCs w:val="20"/>
        </w:rPr>
        <w:footnoteReference w:id="2"/>
      </w:r>
      <w:r w:rsidRPr="006F29EC">
        <w:rPr>
          <w:rFonts w:ascii="Arial" w:hAnsi="Arial" w:cs="Arial"/>
          <w:bCs/>
          <w:color w:val="000000" w:themeColor="text1"/>
          <w:sz w:val="20"/>
          <w:szCs w:val="20"/>
        </w:rPr>
        <w:t xml:space="preserve">; considerando anche le Aree di cintura, che comprendono i comuni più prossimi ai Poli, si arriva al </w:t>
      </w:r>
      <w:r w:rsidR="00DF2699">
        <w:rPr>
          <w:rFonts w:ascii="Arial" w:hAnsi="Arial" w:cs="Arial"/>
          <w:bCs/>
          <w:color w:val="000000" w:themeColor="text1"/>
          <w:sz w:val="20"/>
          <w:szCs w:val="20"/>
        </w:rPr>
        <w:t>22,6</w:t>
      </w:r>
      <w:r w:rsidRPr="006F29EC">
        <w:rPr>
          <w:rFonts w:ascii="Arial" w:hAnsi="Arial" w:cs="Arial"/>
          <w:bCs/>
          <w:color w:val="000000" w:themeColor="text1"/>
          <w:sz w:val="20"/>
          <w:szCs w:val="20"/>
        </w:rPr>
        <w:t xml:space="preserve">%. Nei comuni delle Aree interne, </w:t>
      </w:r>
      <w:r w:rsidR="00E27F3D">
        <w:rPr>
          <w:rFonts w:ascii="Arial" w:hAnsi="Arial" w:cs="Arial"/>
          <w:bCs/>
          <w:color w:val="000000" w:themeColor="text1"/>
          <w:sz w:val="20"/>
          <w:szCs w:val="20"/>
        </w:rPr>
        <w:t>aree significativamente distanti dai centri di offerta di servizi essenziali (di istruzione, salute e mobilità)</w:t>
      </w:r>
      <w:r w:rsidRPr="006F29EC">
        <w:rPr>
          <w:rFonts w:ascii="Arial" w:hAnsi="Arial" w:cs="Arial"/>
          <w:bCs/>
          <w:color w:val="000000" w:themeColor="text1"/>
          <w:sz w:val="20"/>
          <w:szCs w:val="20"/>
        </w:rPr>
        <w:t xml:space="preserve">, gli incidenti rappresentano il </w:t>
      </w:r>
      <w:r w:rsidR="00DF2699">
        <w:rPr>
          <w:rFonts w:ascii="Arial" w:hAnsi="Arial" w:cs="Arial"/>
          <w:bCs/>
          <w:color w:val="000000" w:themeColor="text1"/>
          <w:sz w:val="20"/>
          <w:szCs w:val="20"/>
        </w:rPr>
        <w:t>77</w:t>
      </w:r>
      <w:r>
        <w:rPr>
          <w:rFonts w:ascii="Arial" w:hAnsi="Arial" w:cs="Arial"/>
          <w:bCs/>
          <w:color w:val="000000" w:themeColor="text1"/>
          <w:sz w:val="20"/>
          <w:szCs w:val="20"/>
        </w:rPr>
        <w:t>,5</w:t>
      </w:r>
      <w:r w:rsidRPr="006F29EC">
        <w:rPr>
          <w:rFonts w:ascii="Arial" w:hAnsi="Arial" w:cs="Arial"/>
          <w:bCs/>
          <w:color w:val="000000" w:themeColor="text1"/>
          <w:sz w:val="20"/>
          <w:szCs w:val="20"/>
        </w:rPr>
        <w:t>% del totale regionale.</w:t>
      </w:r>
    </w:p>
    <w:p w14:paraId="43712A7D" w14:textId="6B3831D6" w:rsidR="00985D39" w:rsidRDefault="001F4F0F" w:rsidP="00985D39">
      <w:pPr>
        <w:pStyle w:val="Paragrafoelenco"/>
        <w:widowControl w:val="0"/>
        <w:suppressAutoHyphens/>
        <w:spacing w:after="120" w:line="240" w:lineRule="auto"/>
        <w:ind w:left="0"/>
        <w:contextualSpacing w:val="0"/>
        <w:jc w:val="both"/>
        <w:rPr>
          <w:rFonts w:ascii="Arial" w:hAnsi="Arial" w:cs="Arial"/>
          <w:bCs/>
          <w:color w:val="000000" w:themeColor="text1"/>
          <w:sz w:val="20"/>
          <w:szCs w:val="20"/>
        </w:rPr>
      </w:pPr>
      <w:r w:rsidRPr="008B51F1">
        <w:rPr>
          <w:rFonts w:ascii="Arial" w:hAnsi="Arial" w:cs="Arial"/>
          <w:bCs/>
          <w:color w:val="000000" w:themeColor="text1"/>
          <w:sz w:val="20"/>
          <w:szCs w:val="20"/>
        </w:rPr>
        <w:t>Rispetto al 20</w:t>
      </w:r>
      <w:r w:rsidR="00DF2699">
        <w:rPr>
          <w:rFonts w:ascii="Arial" w:hAnsi="Arial" w:cs="Arial"/>
          <w:bCs/>
          <w:color w:val="000000" w:themeColor="text1"/>
          <w:sz w:val="20"/>
          <w:szCs w:val="20"/>
        </w:rPr>
        <w:t>20</w:t>
      </w:r>
      <w:r w:rsidRPr="008B51F1">
        <w:rPr>
          <w:rFonts w:ascii="Arial" w:hAnsi="Arial" w:cs="Arial"/>
          <w:bCs/>
          <w:color w:val="000000" w:themeColor="text1"/>
          <w:sz w:val="20"/>
          <w:szCs w:val="20"/>
        </w:rPr>
        <w:t xml:space="preserve"> gli incidenti </w:t>
      </w:r>
      <w:r w:rsidR="00DF2699">
        <w:rPr>
          <w:rFonts w:ascii="Arial" w:hAnsi="Arial" w:cs="Arial"/>
          <w:bCs/>
          <w:color w:val="000000" w:themeColor="text1"/>
          <w:sz w:val="20"/>
          <w:szCs w:val="20"/>
        </w:rPr>
        <w:t>aumentano</w:t>
      </w:r>
      <w:r w:rsidRPr="008B51F1">
        <w:rPr>
          <w:rFonts w:ascii="Arial" w:hAnsi="Arial" w:cs="Arial"/>
          <w:bCs/>
          <w:color w:val="000000" w:themeColor="text1"/>
          <w:sz w:val="20"/>
          <w:szCs w:val="20"/>
        </w:rPr>
        <w:t xml:space="preserve"> sia nei Centri </w:t>
      </w:r>
      <w:r w:rsidR="00DF2699">
        <w:rPr>
          <w:rFonts w:ascii="Arial" w:hAnsi="Arial" w:cs="Arial"/>
          <w:bCs/>
          <w:color w:val="000000" w:themeColor="text1"/>
          <w:sz w:val="20"/>
          <w:szCs w:val="20"/>
        </w:rPr>
        <w:t>(+17,6</w:t>
      </w:r>
      <w:r w:rsidRPr="008B51F1">
        <w:rPr>
          <w:rFonts w:ascii="Arial" w:hAnsi="Arial" w:cs="Arial"/>
          <w:bCs/>
          <w:color w:val="000000" w:themeColor="text1"/>
          <w:sz w:val="20"/>
          <w:szCs w:val="20"/>
        </w:rPr>
        <w:t xml:space="preserve">%) </w:t>
      </w:r>
      <w:r w:rsidR="00AC1D71">
        <w:rPr>
          <w:rFonts w:ascii="Arial" w:hAnsi="Arial" w:cs="Arial"/>
          <w:bCs/>
          <w:color w:val="000000" w:themeColor="text1"/>
          <w:sz w:val="20"/>
          <w:szCs w:val="20"/>
        </w:rPr>
        <w:t>che</w:t>
      </w:r>
      <w:r w:rsidR="00AC1D71" w:rsidRPr="008B51F1">
        <w:rPr>
          <w:rFonts w:ascii="Arial" w:hAnsi="Arial" w:cs="Arial"/>
          <w:bCs/>
          <w:color w:val="000000" w:themeColor="text1"/>
          <w:sz w:val="20"/>
          <w:szCs w:val="20"/>
        </w:rPr>
        <w:t xml:space="preserve"> </w:t>
      </w:r>
      <w:r w:rsidRPr="008B51F1">
        <w:rPr>
          <w:rFonts w:ascii="Arial" w:hAnsi="Arial" w:cs="Arial"/>
          <w:bCs/>
          <w:color w:val="000000" w:themeColor="text1"/>
          <w:sz w:val="20"/>
          <w:szCs w:val="20"/>
        </w:rPr>
        <w:t xml:space="preserve">nelle Aree interne </w:t>
      </w:r>
      <w:r w:rsidR="00DF2699">
        <w:rPr>
          <w:rFonts w:ascii="Arial" w:hAnsi="Arial" w:cs="Arial"/>
          <w:bCs/>
          <w:color w:val="000000" w:themeColor="text1"/>
          <w:sz w:val="20"/>
          <w:szCs w:val="20"/>
        </w:rPr>
        <w:t>(+41,9</w:t>
      </w:r>
      <w:r w:rsidRPr="008B51F1">
        <w:rPr>
          <w:rFonts w:ascii="Arial" w:hAnsi="Arial" w:cs="Arial"/>
          <w:bCs/>
          <w:color w:val="000000" w:themeColor="text1"/>
          <w:sz w:val="20"/>
          <w:szCs w:val="20"/>
        </w:rPr>
        <w:t xml:space="preserve">%). </w:t>
      </w:r>
      <w:r w:rsidR="00AC1D71">
        <w:rPr>
          <w:rFonts w:ascii="Arial" w:hAnsi="Arial" w:cs="Arial"/>
          <w:bCs/>
          <w:color w:val="000000" w:themeColor="text1"/>
          <w:sz w:val="20"/>
          <w:szCs w:val="20"/>
        </w:rPr>
        <w:t>Il numero delle vittime aumenta</w:t>
      </w:r>
      <w:r>
        <w:rPr>
          <w:rFonts w:ascii="Arial" w:hAnsi="Arial" w:cs="Arial"/>
          <w:bCs/>
          <w:color w:val="000000" w:themeColor="text1"/>
          <w:sz w:val="20"/>
          <w:szCs w:val="20"/>
        </w:rPr>
        <w:t xml:space="preserve"> del </w:t>
      </w:r>
      <w:r w:rsidR="00A40B62">
        <w:rPr>
          <w:rFonts w:ascii="Arial" w:hAnsi="Arial" w:cs="Arial"/>
          <w:bCs/>
          <w:color w:val="000000" w:themeColor="text1"/>
          <w:sz w:val="20"/>
          <w:szCs w:val="20"/>
        </w:rPr>
        <w:t>200,0</w:t>
      </w:r>
      <w:r>
        <w:rPr>
          <w:rFonts w:ascii="Arial" w:hAnsi="Arial" w:cs="Arial"/>
          <w:bCs/>
          <w:color w:val="000000" w:themeColor="text1"/>
          <w:sz w:val="20"/>
          <w:szCs w:val="20"/>
        </w:rPr>
        <w:t>% nei Centri e del</w:t>
      </w:r>
      <w:r w:rsidR="006413BF">
        <w:rPr>
          <w:rFonts w:ascii="Arial" w:hAnsi="Arial" w:cs="Arial"/>
          <w:bCs/>
          <w:color w:val="000000" w:themeColor="text1"/>
          <w:sz w:val="20"/>
          <w:szCs w:val="20"/>
        </w:rPr>
        <w:t xml:space="preserve"> </w:t>
      </w:r>
      <w:r w:rsidR="00A40B62">
        <w:rPr>
          <w:rFonts w:ascii="Arial" w:hAnsi="Arial" w:cs="Arial"/>
          <w:bCs/>
          <w:color w:val="000000" w:themeColor="text1"/>
          <w:sz w:val="20"/>
          <w:szCs w:val="20"/>
        </w:rPr>
        <w:t>87,</w:t>
      </w:r>
      <w:r>
        <w:rPr>
          <w:rFonts w:ascii="Arial" w:hAnsi="Arial" w:cs="Arial"/>
          <w:bCs/>
          <w:color w:val="000000" w:themeColor="text1"/>
          <w:sz w:val="20"/>
          <w:szCs w:val="20"/>
        </w:rPr>
        <w:t>5% nelle Aree Interne</w:t>
      </w:r>
      <w:r w:rsidRPr="006F29EC">
        <w:rPr>
          <w:rFonts w:ascii="Arial" w:hAnsi="Arial" w:cs="Arial"/>
          <w:bCs/>
          <w:color w:val="000000" w:themeColor="text1"/>
          <w:sz w:val="20"/>
          <w:szCs w:val="20"/>
        </w:rPr>
        <w:t xml:space="preserve"> (Prospetto 2</w:t>
      </w:r>
      <w:r w:rsidR="003E031C">
        <w:rPr>
          <w:rFonts w:ascii="Arial" w:hAnsi="Arial" w:cs="Arial"/>
          <w:bCs/>
          <w:color w:val="000000" w:themeColor="text1"/>
          <w:sz w:val="20"/>
          <w:szCs w:val="20"/>
        </w:rPr>
        <w:t xml:space="preserve">). </w:t>
      </w:r>
    </w:p>
    <w:p w14:paraId="770F52AD" w14:textId="77777777" w:rsidR="005C17C4" w:rsidRDefault="005C17C4" w:rsidP="00985D39">
      <w:pPr>
        <w:pStyle w:val="Paragrafoelenco"/>
        <w:widowControl w:val="0"/>
        <w:shd w:val="clear" w:color="auto" w:fill="FFFFFF" w:themeFill="background1"/>
        <w:suppressAutoHyphens/>
        <w:spacing w:after="0" w:line="240" w:lineRule="auto"/>
        <w:ind w:left="0"/>
        <w:jc w:val="both"/>
        <w:rPr>
          <w:rFonts w:ascii="Arial Narrow" w:hAnsi="Arial Narrow" w:cs="Arial"/>
          <w:b/>
          <w:bCs/>
          <w:iCs/>
          <w:caps/>
          <w:color w:val="808080"/>
          <w:sz w:val="20"/>
          <w:szCs w:val="20"/>
        </w:rPr>
      </w:pPr>
    </w:p>
    <w:p w14:paraId="3E67B4BC" w14:textId="4AA6AB88" w:rsidR="00985D39" w:rsidRDefault="00985D39" w:rsidP="00985D39">
      <w:pPr>
        <w:pStyle w:val="Paragrafoelenco"/>
        <w:widowControl w:val="0"/>
        <w:shd w:val="clear" w:color="auto" w:fill="FFFFFF" w:themeFill="background1"/>
        <w:suppressAutoHyphens/>
        <w:spacing w:after="0" w:line="240" w:lineRule="auto"/>
        <w:ind w:left="0"/>
        <w:jc w:val="both"/>
        <w:rPr>
          <w:rFonts w:ascii="Arial Narrow" w:hAnsi="Arial Narrow" w:cs="Arial"/>
          <w:bCs/>
          <w:iCs/>
          <w:caps/>
          <w:color w:val="808080"/>
          <w:sz w:val="20"/>
          <w:szCs w:val="20"/>
        </w:rPr>
      </w:pPr>
      <w:r w:rsidRPr="007C51C9">
        <w:rPr>
          <w:rFonts w:ascii="Arial Narrow" w:hAnsi="Arial Narrow" w:cs="Arial"/>
          <w:b/>
          <w:bCs/>
          <w:iCs/>
          <w:caps/>
          <w:color w:val="808080"/>
          <w:sz w:val="20"/>
          <w:szCs w:val="20"/>
        </w:rPr>
        <w:t>PROSPETTO 2. INCIDENTI STRADALI, MORTI E FERITI PER TIPOLOGIA DI COMUNE</w:t>
      </w:r>
      <w:r>
        <w:rPr>
          <w:rFonts w:ascii="Arial Narrow" w:hAnsi="Arial Narrow" w:cs="Arial"/>
          <w:b/>
          <w:bCs/>
          <w:iCs/>
          <w:caps/>
          <w:color w:val="808080"/>
          <w:sz w:val="20"/>
          <w:szCs w:val="20"/>
        </w:rPr>
        <w:t>,</w:t>
      </w:r>
      <w:r w:rsidRPr="007C51C9">
        <w:rPr>
          <w:rFonts w:ascii="Arial Narrow" w:hAnsi="Arial Narrow" w:cs="Arial"/>
          <w:b/>
          <w:bCs/>
          <w:iCs/>
          <w:caps/>
          <w:color w:val="808080"/>
          <w:sz w:val="20"/>
          <w:szCs w:val="20"/>
        </w:rPr>
        <w:t xml:space="preserve"> </w:t>
      </w:r>
      <w:r w:rsidR="00A1310C">
        <w:rPr>
          <w:rFonts w:ascii="Arial Narrow" w:hAnsi="Arial Narrow" w:cs="Arial"/>
          <w:b/>
          <w:bCs/>
          <w:iCs/>
          <w:caps/>
          <w:color w:val="808080"/>
          <w:sz w:val="20"/>
          <w:szCs w:val="20"/>
        </w:rPr>
        <w:t>BASILICATA</w:t>
      </w:r>
    </w:p>
    <w:p w14:paraId="7C725971" w14:textId="0A41460D" w:rsidR="00985D39" w:rsidRDefault="00985D39" w:rsidP="00EB4E96">
      <w:pPr>
        <w:pStyle w:val="Paragrafoelenco"/>
        <w:widowControl w:val="0"/>
        <w:suppressAutoHyphens/>
        <w:spacing w:after="0" w:line="240" w:lineRule="auto"/>
        <w:ind w:left="0"/>
        <w:jc w:val="both"/>
        <w:rPr>
          <w:rFonts w:ascii="Arial Narrow" w:hAnsi="Arial Narrow" w:cs="Arial"/>
          <w:color w:val="000000"/>
          <w:sz w:val="19"/>
          <w:szCs w:val="19"/>
        </w:rPr>
      </w:pPr>
      <w:r w:rsidRPr="00B23E06">
        <w:rPr>
          <w:rFonts w:ascii="Arial Narrow" w:hAnsi="Arial Narrow" w:cs="Arial"/>
          <w:color w:val="000000"/>
          <w:sz w:val="19"/>
          <w:szCs w:val="19"/>
        </w:rPr>
        <w:t>Anno 20</w:t>
      </w:r>
      <w:r w:rsidR="001A4958">
        <w:rPr>
          <w:rFonts w:ascii="Arial Narrow" w:hAnsi="Arial Narrow" w:cs="Arial"/>
          <w:color w:val="000000"/>
          <w:sz w:val="19"/>
          <w:szCs w:val="19"/>
        </w:rPr>
        <w:t>2</w:t>
      </w:r>
      <w:r w:rsidR="0058258F">
        <w:rPr>
          <w:rFonts w:ascii="Arial Narrow" w:hAnsi="Arial Narrow" w:cs="Arial"/>
          <w:color w:val="000000"/>
          <w:sz w:val="19"/>
          <w:szCs w:val="19"/>
        </w:rPr>
        <w:t>1</w:t>
      </w:r>
      <w:r w:rsidRPr="00B23E06">
        <w:rPr>
          <w:rFonts w:ascii="Arial Narrow" w:hAnsi="Arial Narrow" w:cs="Arial"/>
          <w:color w:val="000000"/>
          <w:sz w:val="19"/>
          <w:szCs w:val="19"/>
        </w:rPr>
        <w:t>, valori assoluti</w:t>
      </w:r>
      <w:r>
        <w:rPr>
          <w:rFonts w:ascii="Arial Narrow" w:hAnsi="Arial Narrow" w:cs="Arial"/>
          <w:color w:val="000000"/>
          <w:sz w:val="19"/>
          <w:szCs w:val="19"/>
        </w:rPr>
        <w:t xml:space="preserve">, composizioni percentuali </w:t>
      </w:r>
      <w:r w:rsidRPr="00B23E06">
        <w:rPr>
          <w:rFonts w:ascii="Arial Narrow" w:hAnsi="Arial Narrow" w:cs="Arial"/>
          <w:color w:val="000000"/>
          <w:sz w:val="19"/>
          <w:szCs w:val="19"/>
        </w:rPr>
        <w:t>e variazioni</w:t>
      </w:r>
    </w:p>
    <w:tbl>
      <w:tblPr>
        <w:tblW w:w="10024" w:type="dxa"/>
        <w:tblCellMar>
          <w:left w:w="70" w:type="dxa"/>
          <w:right w:w="70" w:type="dxa"/>
        </w:tblCellMar>
        <w:tblLook w:val="04A0" w:firstRow="1" w:lastRow="0" w:firstColumn="1" w:lastColumn="0" w:noHBand="0" w:noVBand="1"/>
      </w:tblPr>
      <w:tblGrid>
        <w:gridCol w:w="1594"/>
        <w:gridCol w:w="766"/>
        <w:gridCol w:w="766"/>
        <w:gridCol w:w="766"/>
        <w:gridCol w:w="766"/>
        <w:gridCol w:w="766"/>
        <w:gridCol w:w="766"/>
        <w:gridCol w:w="766"/>
        <w:gridCol w:w="769"/>
        <w:gridCol w:w="766"/>
        <w:gridCol w:w="766"/>
        <w:gridCol w:w="767"/>
      </w:tblGrid>
      <w:tr w:rsidR="005833DF" w14:paraId="00DC8602" w14:textId="77777777" w:rsidTr="00AC5BCF">
        <w:trPr>
          <w:trHeight w:val="303"/>
        </w:trPr>
        <w:tc>
          <w:tcPr>
            <w:tcW w:w="1594" w:type="dxa"/>
            <w:vMerge w:val="restart"/>
            <w:tcBorders>
              <w:top w:val="single" w:sz="4" w:space="0" w:color="auto"/>
              <w:left w:val="nil"/>
              <w:bottom w:val="single" w:sz="4" w:space="0" w:color="auto"/>
              <w:right w:val="nil"/>
            </w:tcBorders>
            <w:shd w:val="clear" w:color="000000" w:fill="FFFFFF"/>
            <w:vAlign w:val="center"/>
            <w:hideMark/>
          </w:tcPr>
          <w:p w14:paraId="5C251182" w14:textId="77777777" w:rsidR="005833DF" w:rsidRDefault="005833DF">
            <w:pPr>
              <w:rPr>
                <w:rFonts w:ascii="Arial Narrow" w:hAnsi="Arial Narrow" w:cs="Calibri"/>
                <w:b/>
                <w:bCs/>
                <w:color w:val="000000"/>
                <w:sz w:val="18"/>
                <w:szCs w:val="18"/>
              </w:rPr>
            </w:pPr>
            <w:r>
              <w:rPr>
                <w:rFonts w:ascii="Arial Narrow" w:hAnsi="Arial Narrow" w:cs="Calibri"/>
                <w:b/>
                <w:bCs/>
                <w:color w:val="000000"/>
                <w:sz w:val="18"/>
                <w:szCs w:val="18"/>
              </w:rPr>
              <w:t>TIPOLOGIA DI COMUNE</w:t>
            </w:r>
          </w:p>
        </w:tc>
        <w:tc>
          <w:tcPr>
            <w:tcW w:w="6131" w:type="dxa"/>
            <w:gridSpan w:val="8"/>
            <w:vMerge w:val="restart"/>
            <w:tcBorders>
              <w:top w:val="single" w:sz="4" w:space="0" w:color="auto"/>
              <w:left w:val="nil"/>
              <w:bottom w:val="single" w:sz="4" w:space="0" w:color="auto"/>
              <w:right w:val="nil"/>
            </w:tcBorders>
            <w:shd w:val="clear" w:color="auto" w:fill="BFBFBF" w:themeFill="background1" w:themeFillShade="BF"/>
            <w:vAlign w:val="center"/>
            <w:hideMark/>
          </w:tcPr>
          <w:p w14:paraId="151D8704" w14:textId="77777777" w:rsidR="005833DF" w:rsidRDefault="005833DF">
            <w:pPr>
              <w:jc w:val="center"/>
              <w:rPr>
                <w:rFonts w:ascii="Arial Narrow" w:hAnsi="Arial Narrow" w:cs="Calibri"/>
                <w:b/>
                <w:bCs/>
                <w:color w:val="000000"/>
                <w:sz w:val="18"/>
                <w:szCs w:val="18"/>
              </w:rPr>
            </w:pPr>
            <w:r>
              <w:rPr>
                <w:rFonts w:ascii="Arial Narrow" w:hAnsi="Arial Narrow" w:cs="Calibri"/>
                <w:b/>
                <w:bCs/>
                <w:color w:val="000000"/>
                <w:sz w:val="18"/>
                <w:szCs w:val="18"/>
              </w:rPr>
              <w:t>2021</w:t>
            </w:r>
          </w:p>
        </w:tc>
        <w:tc>
          <w:tcPr>
            <w:tcW w:w="2299" w:type="dxa"/>
            <w:gridSpan w:val="3"/>
            <w:tcBorders>
              <w:top w:val="single" w:sz="4" w:space="0" w:color="auto"/>
              <w:left w:val="nil"/>
              <w:bottom w:val="nil"/>
              <w:right w:val="nil"/>
            </w:tcBorders>
            <w:shd w:val="clear" w:color="000000" w:fill="FFFFFF"/>
            <w:vAlign w:val="center"/>
            <w:hideMark/>
          </w:tcPr>
          <w:p w14:paraId="28D14F50" w14:textId="77777777" w:rsidR="005833DF" w:rsidRDefault="005833DF">
            <w:pPr>
              <w:jc w:val="center"/>
              <w:rPr>
                <w:rFonts w:ascii="Arial Narrow" w:hAnsi="Arial Narrow" w:cs="Calibri"/>
                <w:b/>
                <w:bCs/>
                <w:color w:val="000000"/>
                <w:sz w:val="18"/>
                <w:szCs w:val="18"/>
              </w:rPr>
            </w:pPr>
            <w:r>
              <w:rPr>
                <w:rFonts w:ascii="Arial Narrow" w:hAnsi="Arial Narrow" w:cs="Calibri"/>
                <w:b/>
                <w:bCs/>
                <w:color w:val="000000"/>
                <w:sz w:val="18"/>
                <w:szCs w:val="18"/>
              </w:rPr>
              <w:t xml:space="preserve">Variazioni </w:t>
            </w:r>
          </w:p>
        </w:tc>
      </w:tr>
      <w:tr w:rsidR="005833DF" w14:paraId="114A5237" w14:textId="77777777" w:rsidTr="00AC5BCF">
        <w:trPr>
          <w:trHeight w:val="303"/>
        </w:trPr>
        <w:tc>
          <w:tcPr>
            <w:tcW w:w="1594" w:type="dxa"/>
            <w:vMerge/>
            <w:tcBorders>
              <w:top w:val="single" w:sz="4" w:space="0" w:color="auto"/>
              <w:left w:val="nil"/>
              <w:bottom w:val="single" w:sz="4" w:space="0" w:color="auto"/>
              <w:right w:val="nil"/>
            </w:tcBorders>
            <w:vAlign w:val="center"/>
            <w:hideMark/>
          </w:tcPr>
          <w:p w14:paraId="270DBB51" w14:textId="77777777" w:rsidR="005833DF" w:rsidRDefault="005833DF">
            <w:pPr>
              <w:rPr>
                <w:rFonts w:ascii="Arial Narrow" w:hAnsi="Arial Narrow" w:cs="Calibri"/>
                <w:b/>
                <w:bCs/>
                <w:color w:val="000000"/>
                <w:sz w:val="18"/>
                <w:szCs w:val="18"/>
              </w:rPr>
            </w:pPr>
          </w:p>
        </w:tc>
        <w:tc>
          <w:tcPr>
            <w:tcW w:w="6131" w:type="dxa"/>
            <w:gridSpan w:val="8"/>
            <w:vMerge/>
            <w:tcBorders>
              <w:top w:val="single" w:sz="4" w:space="0" w:color="auto"/>
              <w:left w:val="nil"/>
              <w:bottom w:val="single" w:sz="4" w:space="0" w:color="auto"/>
              <w:right w:val="nil"/>
            </w:tcBorders>
            <w:shd w:val="clear" w:color="auto" w:fill="BFBFBF" w:themeFill="background1" w:themeFillShade="BF"/>
            <w:vAlign w:val="center"/>
            <w:hideMark/>
          </w:tcPr>
          <w:p w14:paraId="54D7DBEE" w14:textId="77777777" w:rsidR="005833DF" w:rsidRDefault="005833DF">
            <w:pPr>
              <w:rPr>
                <w:rFonts w:ascii="Arial Narrow" w:hAnsi="Arial Narrow" w:cs="Calibri"/>
                <w:b/>
                <w:bCs/>
                <w:color w:val="000000"/>
                <w:sz w:val="18"/>
                <w:szCs w:val="18"/>
              </w:rPr>
            </w:pPr>
          </w:p>
        </w:tc>
        <w:tc>
          <w:tcPr>
            <w:tcW w:w="2299" w:type="dxa"/>
            <w:gridSpan w:val="3"/>
            <w:tcBorders>
              <w:top w:val="nil"/>
              <w:left w:val="nil"/>
              <w:bottom w:val="single" w:sz="4" w:space="0" w:color="auto"/>
              <w:right w:val="nil"/>
            </w:tcBorders>
            <w:shd w:val="clear" w:color="000000" w:fill="FFFFFF"/>
            <w:vAlign w:val="center"/>
            <w:hideMark/>
          </w:tcPr>
          <w:p w14:paraId="781D2611" w14:textId="77777777" w:rsidR="005833DF" w:rsidRDefault="005833DF">
            <w:pPr>
              <w:jc w:val="center"/>
              <w:rPr>
                <w:rFonts w:ascii="Arial Narrow" w:hAnsi="Arial Narrow" w:cs="Calibri"/>
                <w:b/>
                <w:bCs/>
                <w:color w:val="000000"/>
                <w:sz w:val="18"/>
                <w:szCs w:val="18"/>
              </w:rPr>
            </w:pPr>
            <w:r>
              <w:rPr>
                <w:rFonts w:ascii="Arial Narrow" w:hAnsi="Arial Narrow" w:cs="Calibri"/>
                <w:b/>
                <w:bCs/>
                <w:color w:val="000000"/>
                <w:sz w:val="18"/>
                <w:szCs w:val="18"/>
              </w:rPr>
              <w:t>2021/2020</w:t>
            </w:r>
          </w:p>
        </w:tc>
      </w:tr>
      <w:tr w:rsidR="005833DF" w14:paraId="4D2C6400" w14:textId="77777777" w:rsidTr="001917AF">
        <w:trPr>
          <w:trHeight w:val="546"/>
        </w:trPr>
        <w:tc>
          <w:tcPr>
            <w:tcW w:w="1594" w:type="dxa"/>
            <w:vMerge/>
            <w:tcBorders>
              <w:top w:val="single" w:sz="4" w:space="0" w:color="auto"/>
              <w:left w:val="nil"/>
              <w:bottom w:val="single" w:sz="4" w:space="0" w:color="auto"/>
              <w:right w:val="nil"/>
            </w:tcBorders>
            <w:vAlign w:val="center"/>
            <w:hideMark/>
          </w:tcPr>
          <w:p w14:paraId="6B40BB27" w14:textId="77777777" w:rsidR="005833DF" w:rsidRDefault="005833DF">
            <w:pPr>
              <w:rPr>
                <w:rFonts w:ascii="Arial Narrow" w:hAnsi="Arial Narrow" w:cs="Calibri"/>
                <w:b/>
                <w:bCs/>
                <w:color w:val="000000"/>
                <w:sz w:val="18"/>
                <w:szCs w:val="18"/>
              </w:rPr>
            </w:pPr>
          </w:p>
        </w:tc>
        <w:tc>
          <w:tcPr>
            <w:tcW w:w="766" w:type="dxa"/>
            <w:tcBorders>
              <w:top w:val="nil"/>
              <w:left w:val="nil"/>
              <w:bottom w:val="single" w:sz="4" w:space="0" w:color="auto"/>
              <w:right w:val="nil"/>
            </w:tcBorders>
            <w:shd w:val="clear" w:color="000000" w:fill="FFFFFF"/>
            <w:vAlign w:val="center"/>
            <w:hideMark/>
          </w:tcPr>
          <w:p w14:paraId="2D58C9B2"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Numero comuni</w:t>
            </w:r>
          </w:p>
        </w:tc>
        <w:tc>
          <w:tcPr>
            <w:tcW w:w="766" w:type="dxa"/>
            <w:tcBorders>
              <w:top w:val="nil"/>
              <w:left w:val="nil"/>
              <w:bottom w:val="single" w:sz="4" w:space="0" w:color="auto"/>
              <w:right w:val="nil"/>
            </w:tcBorders>
            <w:shd w:val="clear" w:color="000000" w:fill="FFFFFF"/>
            <w:vAlign w:val="center"/>
            <w:hideMark/>
          </w:tcPr>
          <w:p w14:paraId="423E7553"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w:t>
            </w:r>
          </w:p>
        </w:tc>
        <w:tc>
          <w:tcPr>
            <w:tcW w:w="766" w:type="dxa"/>
            <w:tcBorders>
              <w:top w:val="nil"/>
              <w:left w:val="nil"/>
              <w:bottom w:val="single" w:sz="4" w:space="0" w:color="auto"/>
              <w:right w:val="nil"/>
            </w:tcBorders>
            <w:shd w:val="clear" w:color="000000" w:fill="FFFFFF"/>
            <w:vAlign w:val="center"/>
            <w:hideMark/>
          </w:tcPr>
          <w:p w14:paraId="7127CBD0"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Incidenti</w:t>
            </w:r>
          </w:p>
        </w:tc>
        <w:tc>
          <w:tcPr>
            <w:tcW w:w="766" w:type="dxa"/>
            <w:tcBorders>
              <w:top w:val="nil"/>
              <w:left w:val="nil"/>
              <w:bottom w:val="single" w:sz="4" w:space="0" w:color="auto"/>
              <w:right w:val="nil"/>
            </w:tcBorders>
            <w:shd w:val="clear" w:color="000000" w:fill="FFFFFF"/>
            <w:vAlign w:val="center"/>
            <w:hideMark/>
          </w:tcPr>
          <w:p w14:paraId="1EC2E286"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w:t>
            </w:r>
          </w:p>
        </w:tc>
        <w:tc>
          <w:tcPr>
            <w:tcW w:w="766" w:type="dxa"/>
            <w:tcBorders>
              <w:top w:val="nil"/>
              <w:left w:val="nil"/>
              <w:bottom w:val="single" w:sz="4" w:space="0" w:color="auto"/>
              <w:right w:val="nil"/>
            </w:tcBorders>
            <w:shd w:val="clear" w:color="000000" w:fill="FFFFFF"/>
            <w:vAlign w:val="center"/>
            <w:hideMark/>
          </w:tcPr>
          <w:p w14:paraId="3579012D"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Morti</w:t>
            </w:r>
          </w:p>
        </w:tc>
        <w:tc>
          <w:tcPr>
            <w:tcW w:w="766" w:type="dxa"/>
            <w:tcBorders>
              <w:top w:val="nil"/>
              <w:left w:val="nil"/>
              <w:bottom w:val="single" w:sz="4" w:space="0" w:color="auto"/>
              <w:right w:val="nil"/>
            </w:tcBorders>
            <w:shd w:val="clear" w:color="000000" w:fill="FFFFFF"/>
            <w:vAlign w:val="center"/>
            <w:hideMark/>
          </w:tcPr>
          <w:p w14:paraId="7E2EF4A9"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w:t>
            </w:r>
          </w:p>
        </w:tc>
        <w:tc>
          <w:tcPr>
            <w:tcW w:w="766" w:type="dxa"/>
            <w:tcBorders>
              <w:top w:val="nil"/>
              <w:left w:val="nil"/>
              <w:bottom w:val="single" w:sz="4" w:space="0" w:color="auto"/>
              <w:right w:val="nil"/>
            </w:tcBorders>
            <w:shd w:val="clear" w:color="000000" w:fill="FFFFFF"/>
            <w:vAlign w:val="center"/>
            <w:hideMark/>
          </w:tcPr>
          <w:p w14:paraId="6A6CE503"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Feriti</w:t>
            </w:r>
          </w:p>
        </w:tc>
        <w:tc>
          <w:tcPr>
            <w:tcW w:w="766" w:type="dxa"/>
            <w:tcBorders>
              <w:top w:val="nil"/>
              <w:left w:val="nil"/>
              <w:bottom w:val="single" w:sz="4" w:space="0" w:color="auto"/>
              <w:right w:val="nil"/>
            </w:tcBorders>
            <w:shd w:val="clear" w:color="000000" w:fill="FFFFFF"/>
            <w:vAlign w:val="center"/>
            <w:hideMark/>
          </w:tcPr>
          <w:p w14:paraId="6E9A9A66"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w:t>
            </w:r>
          </w:p>
        </w:tc>
        <w:tc>
          <w:tcPr>
            <w:tcW w:w="766" w:type="dxa"/>
            <w:tcBorders>
              <w:top w:val="nil"/>
              <w:left w:val="nil"/>
              <w:bottom w:val="single" w:sz="4" w:space="0" w:color="auto"/>
              <w:right w:val="nil"/>
            </w:tcBorders>
            <w:shd w:val="clear" w:color="000000" w:fill="FFFFFF"/>
            <w:vAlign w:val="center"/>
            <w:hideMark/>
          </w:tcPr>
          <w:p w14:paraId="3C2233FD"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Incidenti</w:t>
            </w:r>
          </w:p>
        </w:tc>
        <w:tc>
          <w:tcPr>
            <w:tcW w:w="766" w:type="dxa"/>
            <w:tcBorders>
              <w:top w:val="nil"/>
              <w:left w:val="nil"/>
              <w:bottom w:val="single" w:sz="4" w:space="0" w:color="auto"/>
              <w:right w:val="nil"/>
            </w:tcBorders>
            <w:shd w:val="clear" w:color="000000" w:fill="FFFFFF"/>
            <w:vAlign w:val="center"/>
            <w:hideMark/>
          </w:tcPr>
          <w:p w14:paraId="07315159"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Morti</w:t>
            </w:r>
          </w:p>
        </w:tc>
        <w:tc>
          <w:tcPr>
            <w:tcW w:w="766" w:type="dxa"/>
            <w:tcBorders>
              <w:top w:val="nil"/>
              <w:left w:val="nil"/>
              <w:bottom w:val="single" w:sz="4" w:space="0" w:color="auto"/>
              <w:right w:val="nil"/>
            </w:tcBorders>
            <w:shd w:val="clear" w:color="000000" w:fill="FFFFFF"/>
            <w:vAlign w:val="center"/>
            <w:hideMark/>
          </w:tcPr>
          <w:p w14:paraId="0A0A6E0B"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Feriti</w:t>
            </w:r>
          </w:p>
        </w:tc>
      </w:tr>
      <w:tr w:rsidR="005833DF" w14:paraId="52FB2D74" w14:textId="77777777" w:rsidTr="00AC5BCF">
        <w:trPr>
          <w:trHeight w:val="303"/>
        </w:trPr>
        <w:tc>
          <w:tcPr>
            <w:tcW w:w="1594" w:type="dxa"/>
            <w:tcBorders>
              <w:top w:val="nil"/>
              <w:left w:val="nil"/>
              <w:bottom w:val="single" w:sz="4" w:space="0" w:color="auto"/>
              <w:right w:val="nil"/>
            </w:tcBorders>
            <w:shd w:val="clear" w:color="000000" w:fill="FFFFFF"/>
            <w:vAlign w:val="center"/>
            <w:hideMark/>
          </w:tcPr>
          <w:p w14:paraId="3B054332" w14:textId="77777777" w:rsidR="005833DF" w:rsidRDefault="005833DF">
            <w:pPr>
              <w:rPr>
                <w:rFonts w:ascii="Arial Narrow" w:hAnsi="Arial Narrow" w:cs="Calibri"/>
                <w:color w:val="000000"/>
                <w:sz w:val="18"/>
                <w:szCs w:val="18"/>
              </w:rPr>
            </w:pPr>
            <w:r>
              <w:rPr>
                <w:rFonts w:ascii="Arial Narrow" w:hAnsi="Arial Narrow" w:cs="Calibri"/>
                <w:color w:val="000000"/>
                <w:sz w:val="18"/>
                <w:szCs w:val="18"/>
              </w:rPr>
              <w:t>Polo</w:t>
            </w:r>
          </w:p>
        </w:tc>
        <w:tc>
          <w:tcPr>
            <w:tcW w:w="766" w:type="dxa"/>
            <w:tcBorders>
              <w:top w:val="nil"/>
              <w:left w:val="nil"/>
              <w:bottom w:val="single" w:sz="4" w:space="0" w:color="auto"/>
              <w:right w:val="nil"/>
            </w:tcBorders>
            <w:shd w:val="clear" w:color="auto" w:fill="BFBFBF" w:themeFill="background1" w:themeFillShade="BF"/>
            <w:vAlign w:val="center"/>
            <w:hideMark/>
          </w:tcPr>
          <w:p w14:paraId="53EF9DEB"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 xml:space="preserve">            1 </w:t>
            </w:r>
          </w:p>
        </w:tc>
        <w:tc>
          <w:tcPr>
            <w:tcW w:w="766" w:type="dxa"/>
            <w:tcBorders>
              <w:top w:val="nil"/>
              <w:left w:val="nil"/>
              <w:bottom w:val="single" w:sz="4" w:space="0" w:color="auto"/>
              <w:right w:val="nil"/>
            </w:tcBorders>
            <w:shd w:val="clear" w:color="auto" w:fill="BFBFBF" w:themeFill="background1" w:themeFillShade="BF"/>
            <w:vAlign w:val="center"/>
            <w:hideMark/>
          </w:tcPr>
          <w:p w14:paraId="2A8A2886"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0,8</w:t>
            </w:r>
          </w:p>
        </w:tc>
        <w:tc>
          <w:tcPr>
            <w:tcW w:w="766" w:type="dxa"/>
            <w:tcBorders>
              <w:top w:val="nil"/>
              <w:left w:val="nil"/>
              <w:bottom w:val="single" w:sz="4" w:space="0" w:color="auto"/>
              <w:right w:val="nil"/>
            </w:tcBorders>
            <w:shd w:val="clear" w:color="000000" w:fill="FFFFFF"/>
            <w:noWrap/>
            <w:vAlign w:val="center"/>
            <w:hideMark/>
          </w:tcPr>
          <w:p w14:paraId="11416297"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166</w:t>
            </w:r>
          </w:p>
        </w:tc>
        <w:tc>
          <w:tcPr>
            <w:tcW w:w="766" w:type="dxa"/>
            <w:tcBorders>
              <w:top w:val="nil"/>
              <w:left w:val="nil"/>
              <w:bottom w:val="single" w:sz="4" w:space="0" w:color="auto"/>
              <w:right w:val="nil"/>
            </w:tcBorders>
            <w:shd w:val="clear" w:color="000000" w:fill="FFFFFF"/>
            <w:vAlign w:val="center"/>
            <w:hideMark/>
          </w:tcPr>
          <w:p w14:paraId="14700064"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18,1</w:t>
            </w:r>
          </w:p>
        </w:tc>
        <w:tc>
          <w:tcPr>
            <w:tcW w:w="766" w:type="dxa"/>
            <w:tcBorders>
              <w:top w:val="nil"/>
              <w:left w:val="nil"/>
              <w:bottom w:val="single" w:sz="4" w:space="0" w:color="auto"/>
              <w:right w:val="nil"/>
            </w:tcBorders>
            <w:shd w:val="clear" w:color="auto" w:fill="BFBFBF" w:themeFill="background1" w:themeFillShade="BF"/>
            <w:noWrap/>
            <w:vAlign w:val="center"/>
            <w:hideMark/>
          </w:tcPr>
          <w:p w14:paraId="27CBC563"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3</w:t>
            </w:r>
          </w:p>
        </w:tc>
        <w:tc>
          <w:tcPr>
            <w:tcW w:w="766" w:type="dxa"/>
            <w:tcBorders>
              <w:top w:val="nil"/>
              <w:left w:val="nil"/>
              <w:bottom w:val="single" w:sz="4" w:space="0" w:color="auto"/>
              <w:right w:val="nil"/>
            </w:tcBorders>
            <w:shd w:val="clear" w:color="auto" w:fill="BFBFBF" w:themeFill="background1" w:themeFillShade="BF"/>
            <w:vAlign w:val="center"/>
            <w:hideMark/>
          </w:tcPr>
          <w:p w14:paraId="4F601E43"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8,3</w:t>
            </w:r>
          </w:p>
        </w:tc>
        <w:tc>
          <w:tcPr>
            <w:tcW w:w="766" w:type="dxa"/>
            <w:tcBorders>
              <w:top w:val="nil"/>
              <w:left w:val="nil"/>
              <w:bottom w:val="single" w:sz="4" w:space="0" w:color="auto"/>
              <w:right w:val="nil"/>
            </w:tcBorders>
            <w:shd w:val="clear" w:color="000000" w:fill="FFFFFF"/>
            <w:noWrap/>
            <w:vAlign w:val="center"/>
            <w:hideMark/>
          </w:tcPr>
          <w:p w14:paraId="3575CC21"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220</w:t>
            </w:r>
          </w:p>
        </w:tc>
        <w:tc>
          <w:tcPr>
            <w:tcW w:w="766" w:type="dxa"/>
            <w:tcBorders>
              <w:top w:val="nil"/>
              <w:left w:val="nil"/>
              <w:bottom w:val="single" w:sz="4" w:space="0" w:color="auto"/>
              <w:right w:val="nil"/>
            </w:tcBorders>
            <w:shd w:val="clear" w:color="000000" w:fill="FFFFFF"/>
            <w:vAlign w:val="center"/>
            <w:hideMark/>
          </w:tcPr>
          <w:p w14:paraId="0324D506"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16,5</w:t>
            </w:r>
          </w:p>
        </w:tc>
        <w:tc>
          <w:tcPr>
            <w:tcW w:w="766" w:type="dxa"/>
            <w:tcBorders>
              <w:top w:val="nil"/>
              <w:left w:val="nil"/>
              <w:bottom w:val="single" w:sz="4" w:space="0" w:color="auto"/>
              <w:right w:val="nil"/>
            </w:tcBorders>
            <w:shd w:val="clear" w:color="auto" w:fill="BFBFBF" w:themeFill="background1" w:themeFillShade="BF"/>
            <w:vAlign w:val="center"/>
            <w:hideMark/>
          </w:tcPr>
          <w:p w14:paraId="370D0226"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 xml:space="preserve">36 </w:t>
            </w:r>
          </w:p>
        </w:tc>
        <w:tc>
          <w:tcPr>
            <w:tcW w:w="766" w:type="dxa"/>
            <w:tcBorders>
              <w:top w:val="nil"/>
              <w:left w:val="nil"/>
              <w:bottom w:val="single" w:sz="4" w:space="0" w:color="auto"/>
              <w:right w:val="nil"/>
            </w:tcBorders>
            <w:shd w:val="clear" w:color="auto" w:fill="BFBFBF" w:themeFill="background1" w:themeFillShade="BF"/>
            <w:vAlign w:val="center"/>
            <w:hideMark/>
          </w:tcPr>
          <w:p w14:paraId="091843C7"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 xml:space="preserve">2 </w:t>
            </w:r>
          </w:p>
        </w:tc>
        <w:tc>
          <w:tcPr>
            <w:tcW w:w="766" w:type="dxa"/>
            <w:tcBorders>
              <w:top w:val="nil"/>
              <w:left w:val="nil"/>
              <w:bottom w:val="single" w:sz="4" w:space="0" w:color="auto"/>
              <w:right w:val="nil"/>
            </w:tcBorders>
            <w:shd w:val="clear" w:color="auto" w:fill="BFBFBF" w:themeFill="background1" w:themeFillShade="BF"/>
            <w:vAlign w:val="center"/>
            <w:hideMark/>
          </w:tcPr>
          <w:p w14:paraId="02ECD6DA"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 xml:space="preserve">43 </w:t>
            </w:r>
          </w:p>
        </w:tc>
      </w:tr>
      <w:tr w:rsidR="005833DF" w14:paraId="32945FF5" w14:textId="77777777" w:rsidTr="00AC5BCF">
        <w:trPr>
          <w:trHeight w:val="303"/>
        </w:trPr>
        <w:tc>
          <w:tcPr>
            <w:tcW w:w="1594" w:type="dxa"/>
            <w:tcBorders>
              <w:top w:val="nil"/>
              <w:left w:val="nil"/>
              <w:bottom w:val="single" w:sz="4" w:space="0" w:color="auto"/>
              <w:right w:val="nil"/>
            </w:tcBorders>
            <w:shd w:val="clear" w:color="000000" w:fill="FFFFFF"/>
            <w:vAlign w:val="center"/>
            <w:hideMark/>
          </w:tcPr>
          <w:p w14:paraId="090BA731" w14:textId="77777777" w:rsidR="005833DF" w:rsidRDefault="005833DF">
            <w:pPr>
              <w:rPr>
                <w:rFonts w:ascii="Arial Narrow" w:hAnsi="Arial Narrow" w:cs="Calibri"/>
                <w:color w:val="000000"/>
                <w:sz w:val="18"/>
                <w:szCs w:val="18"/>
              </w:rPr>
            </w:pPr>
            <w:r>
              <w:rPr>
                <w:rFonts w:ascii="Arial Narrow" w:hAnsi="Arial Narrow" w:cs="Calibri"/>
                <w:color w:val="000000"/>
                <w:sz w:val="18"/>
                <w:szCs w:val="18"/>
              </w:rPr>
              <w:t>Cintura</w:t>
            </w:r>
          </w:p>
        </w:tc>
        <w:tc>
          <w:tcPr>
            <w:tcW w:w="766" w:type="dxa"/>
            <w:tcBorders>
              <w:top w:val="nil"/>
              <w:left w:val="nil"/>
              <w:bottom w:val="single" w:sz="4" w:space="0" w:color="auto"/>
              <w:right w:val="nil"/>
            </w:tcBorders>
            <w:shd w:val="clear" w:color="auto" w:fill="BFBFBF" w:themeFill="background1" w:themeFillShade="BF"/>
            <w:vAlign w:val="center"/>
            <w:hideMark/>
          </w:tcPr>
          <w:p w14:paraId="1F19CA6F"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 xml:space="preserve">          11 </w:t>
            </w:r>
          </w:p>
        </w:tc>
        <w:tc>
          <w:tcPr>
            <w:tcW w:w="766" w:type="dxa"/>
            <w:tcBorders>
              <w:top w:val="nil"/>
              <w:left w:val="nil"/>
              <w:bottom w:val="single" w:sz="4" w:space="0" w:color="auto"/>
              <w:right w:val="nil"/>
            </w:tcBorders>
            <w:shd w:val="clear" w:color="auto" w:fill="BFBFBF" w:themeFill="background1" w:themeFillShade="BF"/>
            <w:vAlign w:val="center"/>
            <w:hideMark/>
          </w:tcPr>
          <w:p w14:paraId="3B77D0AD"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8,4</w:t>
            </w:r>
          </w:p>
        </w:tc>
        <w:tc>
          <w:tcPr>
            <w:tcW w:w="766" w:type="dxa"/>
            <w:tcBorders>
              <w:top w:val="nil"/>
              <w:left w:val="nil"/>
              <w:bottom w:val="single" w:sz="4" w:space="0" w:color="auto"/>
              <w:right w:val="nil"/>
            </w:tcBorders>
            <w:shd w:val="clear" w:color="000000" w:fill="FFFFFF"/>
            <w:noWrap/>
            <w:vAlign w:val="center"/>
            <w:hideMark/>
          </w:tcPr>
          <w:p w14:paraId="7E8D5A34"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41</w:t>
            </w:r>
          </w:p>
        </w:tc>
        <w:tc>
          <w:tcPr>
            <w:tcW w:w="766" w:type="dxa"/>
            <w:tcBorders>
              <w:top w:val="nil"/>
              <w:left w:val="nil"/>
              <w:bottom w:val="single" w:sz="4" w:space="0" w:color="auto"/>
              <w:right w:val="nil"/>
            </w:tcBorders>
            <w:shd w:val="clear" w:color="000000" w:fill="FFFFFF"/>
            <w:vAlign w:val="center"/>
            <w:hideMark/>
          </w:tcPr>
          <w:p w14:paraId="0FCA8989"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4,5</w:t>
            </w:r>
          </w:p>
        </w:tc>
        <w:tc>
          <w:tcPr>
            <w:tcW w:w="766" w:type="dxa"/>
            <w:tcBorders>
              <w:top w:val="nil"/>
              <w:left w:val="nil"/>
              <w:bottom w:val="single" w:sz="4" w:space="0" w:color="auto"/>
              <w:right w:val="nil"/>
            </w:tcBorders>
            <w:shd w:val="clear" w:color="auto" w:fill="BFBFBF" w:themeFill="background1" w:themeFillShade="BF"/>
            <w:noWrap/>
            <w:vAlign w:val="center"/>
            <w:hideMark/>
          </w:tcPr>
          <w:p w14:paraId="680AFDFF"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3</w:t>
            </w:r>
          </w:p>
        </w:tc>
        <w:tc>
          <w:tcPr>
            <w:tcW w:w="766" w:type="dxa"/>
            <w:tcBorders>
              <w:top w:val="nil"/>
              <w:left w:val="nil"/>
              <w:bottom w:val="single" w:sz="4" w:space="0" w:color="auto"/>
              <w:right w:val="nil"/>
            </w:tcBorders>
            <w:shd w:val="clear" w:color="auto" w:fill="BFBFBF" w:themeFill="background1" w:themeFillShade="BF"/>
            <w:vAlign w:val="center"/>
            <w:hideMark/>
          </w:tcPr>
          <w:p w14:paraId="08BF0671"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8,3</w:t>
            </w:r>
          </w:p>
        </w:tc>
        <w:tc>
          <w:tcPr>
            <w:tcW w:w="766" w:type="dxa"/>
            <w:tcBorders>
              <w:top w:val="nil"/>
              <w:left w:val="nil"/>
              <w:bottom w:val="single" w:sz="4" w:space="0" w:color="auto"/>
              <w:right w:val="nil"/>
            </w:tcBorders>
            <w:shd w:val="clear" w:color="000000" w:fill="FFFFFF"/>
            <w:noWrap/>
            <w:vAlign w:val="center"/>
            <w:hideMark/>
          </w:tcPr>
          <w:p w14:paraId="2366D89F"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61</w:t>
            </w:r>
          </w:p>
        </w:tc>
        <w:tc>
          <w:tcPr>
            <w:tcW w:w="766" w:type="dxa"/>
            <w:tcBorders>
              <w:top w:val="nil"/>
              <w:left w:val="nil"/>
              <w:bottom w:val="single" w:sz="4" w:space="0" w:color="auto"/>
              <w:right w:val="nil"/>
            </w:tcBorders>
            <w:shd w:val="clear" w:color="000000" w:fill="FFFFFF"/>
            <w:vAlign w:val="center"/>
            <w:hideMark/>
          </w:tcPr>
          <w:p w14:paraId="3B910EC0"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4,6</w:t>
            </w:r>
          </w:p>
        </w:tc>
        <w:tc>
          <w:tcPr>
            <w:tcW w:w="766" w:type="dxa"/>
            <w:tcBorders>
              <w:top w:val="nil"/>
              <w:left w:val="nil"/>
              <w:bottom w:val="single" w:sz="4" w:space="0" w:color="auto"/>
              <w:right w:val="nil"/>
            </w:tcBorders>
            <w:shd w:val="clear" w:color="auto" w:fill="BFBFBF" w:themeFill="background1" w:themeFillShade="BF"/>
            <w:vAlign w:val="center"/>
            <w:hideMark/>
          </w:tcPr>
          <w:p w14:paraId="46EF9E10"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 xml:space="preserve">-5 </w:t>
            </w:r>
          </w:p>
        </w:tc>
        <w:tc>
          <w:tcPr>
            <w:tcW w:w="766" w:type="dxa"/>
            <w:tcBorders>
              <w:top w:val="nil"/>
              <w:left w:val="nil"/>
              <w:bottom w:val="single" w:sz="4" w:space="0" w:color="auto"/>
              <w:right w:val="nil"/>
            </w:tcBorders>
            <w:shd w:val="clear" w:color="auto" w:fill="BFBFBF" w:themeFill="background1" w:themeFillShade="BF"/>
            <w:vAlign w:val="center"/>
            <w:hideMark/>
          </w:tcPr>
          <w:p w14:paraId="718F9C22"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 xml:space="preserve">2 </w:t>
            </w:r>
          </w:p>
        </w:tc>
        <w:tc>
          <w:tcPr>
            <w:tcW w:w="766" w:type="dxa"/>
            <w:tcBorders>
              <w:top w:val="nil"/>
              <w:left w:val="nil"/>
              <w:bottom w:val="single" w:sz="4" w:space="0" w:color="auto"/>
              <w:right w:val="nil"/>
            </w:tcBorders>
            <w:shd w:val="clear" w:color="auto" w:fill="BFBFBF" w:themeFill="background1" w:themeFillShade="BF"/>
            <w:vAlign w:val="center"/>
            <w:hideMark/>
          </w:tcPr>
          <w:p w14:paraId="2D65B9C4"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 xml:space="preserve">-8 </w:t>
            </w:r>
          </w:p>
        </w:tc>
      </w:tr>
      <w:tr w:rsidR="005833DF" w14:paraId="35CD627F" w14:textId="77777777" w:rsidTr="00AC5BCF">
        <w:trPr>
          <w:trHeight w:val="303"/>
        </w:trPr>
        <w:tc>
          <w:tcPr>
            <w:tcW w:w="1594" w:type="dxa"/>
            <w:tcBorders>
              <w:top w:val="nil"/>
              <w:left w:val="nil"/>
              <w:bottom w:val="single" w:sz="4" w:space="0" w:color="auto"/>
              <w:right w:val="nil"/>
            </w:tcBorders>
            <w:shd w:val="clear" w:color="000000" w:fill="FFFFFF"/>
            <w:vAlign w:val="center"/>
            <w:hideMark/>
          </w:tcPr>
          <w:p w14:paraId="013205FC" w14:textId="77777777" w:rsidR="005833DF" w:rsidRDefault="005833DF">
            <w:pPr>
              <w:rPr>
                <w:rFonts w:ascii="Arial Narrow" w:hAnsi="Arial Narrow" w:cs="Calibri"/>
                <w:b/>
                <w:bCs/>
                <w:color w:val="000000"/>
                <w:sz w:val="18"/>
                <w:szCs w:val="18"/>
              </w:rPr>
            </w:pPr>
            <w:r>
              <w:rPr>
                <w:rFonts w:ascii="Arial Narrow" w:hAnsi="Arial Narrow" w:cs="Calibri"/>
                <w:b/>
                <w:bCs/>
                <w:color w:val="000000"/>
                <w:sz w:val="18"/>
                <w:szCs w:val="18"/>
              </w:rPr>
              <w:t>Totale Centri</w:t>
            </w:r>
          </w:p>
        </w:tc>
        <w:tc>
          <w:tcPr>
            <w:tcW w:w="766" w:type="dxa"/>
            <w:tcBorders>
              <w:top w:val="nil"/>
              <w:left w:val="nil"/>
              <w:bottom w:val="single" w:sz="4" w:space="0" w:color="auto"/>
              <w:right w:val="nil"/>
            </w:tcBorders>
            <w:shd w:val="clear" w:color="auto" w:fill="BFBFBF" w:themeFill="background1" w:themeFillShade="BF"/>
            <w:vAlign w:val="center"/>
            <w:hideMark/>
          </w:tcPr>
          <w:p w14:paraId="771C4F10" w14:textId="77777777" w:rsidR="005833DF" w:rsidRDefault="005833DF">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          12 </w:t>
            </w:r>
          </w:p>
        </w:tc>
        <w:tc>
          <w:tcPr>
            <w:tcW w:w="766" w:type="dxa"/>
            <w:tcBorders>
              <w:top w:val="nil"/>
              <w:left w:val="nil"/>
              <w:bottom w:val="single" w:sz="4" w:space="0" w:color="auto"/>
              <w:right w:val="nil"/>
            </w:tcBorders>
            <w:shd w:val="clear" w:color="auto" w:fill="BFBFBF" w:themeFill="background1" w:themeFillShade="BF"/>
            <w:vAlign w:val="center"/>
            <w:hideMark/>
          </w:tcPr>
          <w:p w14:paraId="141213B3" w14:textId="77777777" w:rsidR="005833DF" w:rsidRDefault="005833DF">
            <w:pPr>
              <w:jc w:val="right"/>
              <w:rPr>
                <w:rFonts w:ascii="Arial Narrow" w:hAnsi="Arial Narrow" w:cs="Calibri"/>
                <w:b/>
                <w:bCs/>
                <w:color w:val="000000"/>
                <w:sz w:val="18"/>
                <w:szCs w:val="18"/>
              </w:rPr>
            </w:pPr>
            <w:r>
              <w:rPr>
                <w:rFonts w:ascii="Arial Narrow" w:hAnsi="Arial Narrow" w:cs="Calibri"/>
                <w:b/>
                <w:bCs/>
                <w:color w:val="000000"/>
                <w:sz w:val="18"/>
                <w:szCs w:val="18"/>
              </w:rPr>
              <w:t>9,2</w:t>
            </w:r>
          </w:p>
        </w:tc>
        <w:tc>
          <w:tcPr>
            <w:tcW w:w="766" w:type="dxa"/>
            <w:tcBorders>
              <w:top w:val="nil"/>
              <w:left w:val="nil"/>
              <w:bottom w:val="single" w:sz="4" w:space="0" w:color="auto"/>
              <w:right w:val="nil"/>
            </w:tcBorders>
            <w:shd w:val="clear" w:color="000000" w:fill="FFFFFF"/>
            <w:noWrap/>
            <w:vAlign w:val="center"/>
            <w:hideMark/>
          </w:tcPr>
          <w:p w14:paraId="148A74D9" w14:textId="77777777" w:rsidR="005833DF" w:rsidRDefault="005833DF">
            <w:pPr>
              <w:jc w:val="right"/>
              <w:rPr>
                <w:rFonts w:ascii="Arial Narrow" w:hAnsi="Arial Narrow" w:cs="Calibri"/>
                <w:b/>
                <w:bCs/>
                <w:color w:val="000000"/>
                <w:sz w:val="18"/>
                <w:szCs w:val="18"/>
              </w:rPr>
            </w:pPr>
            <w:r>
              <w:rPr>
                <w:rFonts w:ascii="Arial Narrow" w:hAnsi="Arial Narrow" w:cs="Calibri"/>
                <w:b/>
                <w:bCs/>
                <w:color w:val="000000"/>
                <w:sz w:val="18"/>
                <w:szCs w:val="18"/>
              </w:rPr>
              <w:t>207</w:t>
            </w:r>
          </w:p>
        </w:tc>
        <w:tc>
          <w:tcPr>
            <w:tcW w:w="766" w:type="dxa"/>
            <w:tcBorders>
              <w:top w:val="nil"/>
              <w:left w:val="nil"/>
              <w:bottom w:val="single" w:sz="4" w:space="0" w:color="auto"/>
              <w:right w:val="nil"/>
            </w:tcBorders>
            <w:shd w:val="clear" w:color="000000" w:fill="FFFFFF"/>
            <w:vAlign w:val="center"/>
            <w:hideMark/>
          </w:tcPr>
          <w:p w14:paraId="1EB172DD" w14:textId="77777777" w:rsidR="005833DF" w:rsidRDefault="005833DF">
            <w:pPr>
              <w:jc w:val="right"/>
              <w:rPr>
                <w:rFonts w:ascii="Arial Narrow" w:hAnsi="Arial Narrow" w:cs="Calibri"/>
                <w:b/>
                <w:bCs/>
                <w:color w:val="000000"/>
                <w:sz w:val="18"/>
                <w:szCs w:val="18"/>
              </w:rPr>
            </w:pPr>
            <w:r>
              <w:rPr>
                <w:rFonts w:ascii="Arial Narrow" w:hAnsi="Arial Narrow" w:cs="Calibri"/>
                <w:b/>
                <w:bCs/>
                <w:color w:val="000000"/>
                <w:sz w:val="18"/>
                <w:szCs w:val="18"/>
              </w:rPr>
              <w:t>22,6</w:t>
            </w:r>
          </w:p>
        </w:tc>
        <w:tc>
          <w:tcPr>
            <w:tcW w:w="766" w:type="dxa"/>
            <w:tcBorders>
              <w:top w:val="nil"/>
              <w:left w:val="nil"/>
              <w:bottom w:val="single" w:sz="4" w:space="0" w:color="auto"/>
              <w:right w:val="nil"/>
            </w:tcBorders>
            <w:shd w:val="clear" w:color="auto" w:fill="BFBFBF" w:themeFill="background1" w:themeFillShade="BF"/>
            <w:noWrap/>
            <w:vAlign w:val="center"/>
            <w:hideMark/>
          </w:tcPr>
          <w:p w14:paraId="18904D72" w14:textId="77777777" w:rsidR="005833DF" w:rsidRDefault="005833DF">
            <w:pPr>
              <w:jc w:val="right"/>
              <w:rPr>
                <w:rFonts w:ascii="Arial Narrow" w:hAnsi="Arial Narrow" w:cs="Calibri"/>
                <w:b/>
                <w:bCs/>
                <w:color w:val="000000"/>
                <w:sz w:val="18"/>
                <w:szCs w:val="18"/>
              </w:rPr>
            </w:pPr>
            <w:r>
              <w:rPr>
                <w:rFonts w:ascii="Arial Narrow" w:hAnsi="Arial Narrow" w:cs="Calibri"/>
                <w:b/>
                <w:bCs/>
                <w:color w:val="000000"/>
                <w:sz w:val="18"/>
                <w:szCs w:val="18"/>
              </w:rPr>
              <w:t>6</w:t>
            </w:r>
          </w:p>
        </w:tc>
        <w:tc>
          <w:tcPr>
            <w:tcW w:w="766" w:type="dxa"/>
            <w:tcBorders>
              <w:top w:val="nil"/>
              <w:left w:val="nil"/>
              <w:bottom w:val="single" w:sz="4" w:space="0" w:color="auto"/>
              <w:right w:val="nil"/>
            </w:tcBorders>
            <w:shd w:val="clear" w:color="auto" w:fill="BFBFBF" w:themeFill="background1" w:themeFillShade="BF"/>
            <w:vAlign w:val="center"/>
            <w:hideMark/>
          </w:tcPr>
          <w:p w14:paraId="72F7DAFD" w14:textId="77777777" w:rsidR="005833DF" w:rsidRDefault="005833DF">
            <w:pPr>
              <w:jc w:val="right"/>
              <w:rPr>
                <w:rFonts w:ascii="Arial Narrow" w:hAnsi="Arial Narrow" w:cs="Calibri"/>
                <w:b/>
                <w:bCs/>
                <w:color w:val="000000"/>
                <w:sz w:val="18"/>
                <w:szCs w:val="18"/>
              </w:rPr>
            </w:pPr>
            <w:r>
              <w:rPr>
                <w:rFonts w:ascii="Arial Narrow" w:hAnsi="Arial Narrow" w:cs="Calibri"/>
                <w:b/>
                <w:bCs/>
                <w:color w:val="000000"/>
                <w:sz w:val="18"/>
                <w:szCs w:val="18"/>
              </w:rPr>
              <w:t>16,7</w:t>
            </w:r>
          </w:p>
        </w:tc>
        <w:tc>
          <w:tcPr>
            <w:tcW w:w="766" w:type="dxa"/>
            <w:tcBorders>
              <w:top w:val="nil"/>
              <w:left w:val="nil"/>
              <w:bottom w:val="single" w:sz="4" w:space="0" w:color="auto"/>
              <w:right w:val="nil"/>
            </w:tcBorders>
            <w:shd w:val="clear" w:color="000000" w:fill="FFFFFF"/>
            <w:noWrap/>
            <w:vAlign w:val="center"/>
            <w:hideMark/>
          </w:tcPr>
          <w:p w14:paraId="29990E2D" w14:textId="77777777" w:rsidR="005833DF" w:rsidRDefault="005833DF">
            <w:pPr>
              <w:jc w:val="right"/>
              <w:rPr>
                <w:rFonts w:ascii="Arial Narrow" w:hAnsi="Arial Narrow" w:cs="Calibri"/>
                <w:b/>
                <w:bCs/>
                <w:color w:val="000000"/>
                <w:sz w:val="18"/>
                <w:szCs w:val="18"/>
              </w:rPr>
            </w:pPr>
            <w:r>
              <w:rPr>
                <w:rFonts w:ascii="Arial Narrow" w:hAnsi="Arial Narrow" w:cs="Calibri"/>
                <w:b/>
                <w:bCs/>
                <w:color w:val="000000"/>
                <w:sz w:val="18"/>
                <w:szCs w:val="18"/>
              </w:rPr>
              <w:t>281</w:t>
            </w:r>
          </w:p>
        </w:tc>
        <w:tc>
          <w:tcPr>
            <w:tcW w:w="766" w:type="dxa"/>
            <w:tcBorders>
              <w:top w:val="nil"/>
              <w:left w:val="nil"/>
              <w:bottom w:val="single" w:sz="4" w:space="0" w:color="auto"/>
              <w:right w:val="nil"/>
            </w:tcBorders>
            <w:shd w:val="clear" w:color="000000" w:fill="FFFFFF"/>
            <w:vAlign w:val="center"/>
            <w:hideMark/>
          </w:tcPr>
          <w:p w14:paraId="6FC1AE55" w14:textId="77777777" w:rsidR="005833DF" w:rsidRDefault="005833DF">
            <w:pPr>
              <w:jc w:val="right"/>
              <w:rPr>
                <w:rFonts w:ascii="Arial Narrow" w:hAnsi="Arial Narrow" w:cs="Calibri"/>
                <w:b/>
                <w:bCs/>
                <w:color w:val="000000"/>
                <w:sz w:val="18"/>
                <w:szCs w:val="18"/>
              </w:rPr>
            </w:pPr>
            <w:r>
              <w:rPr>
                <w:rFonts w:ascii="Arial Narrow" w:hAnsi="Arial Narrow" w:cs="Calibri"/>
                <w:b/>
                <w:bCs/>
                <w:color w:val="000000"/>
                <w:sz w:val="18"/>
                <w:szCs w:val="18"/>
              </w:rPr>
              <w:t>21,1</w:t>
            </w:r>
          </w:p>
        </w:tc>
        <w:tc>
          <w:tcPr>
            <w:tcW w:w="766" w:type="dxa"/>
            <w:tcBorders>
              <w:top w:val="nil"/>
              <w:left w:val="nil"/>
              <w:bottom w:val="single" w:sz="4" w:space="0" w:color="auto"/>
              <w:right w:val="nil"/>
            </w:tcBorders>
            <w:shd w:val="clear" w:color="auto" w:fill="BFBFBF" w:themeFill="background1" w:themeFillShade="BF"/>
            <w:vAlign w:val="center"/>
            <w:hideMark/>
          </w:tcPr>
          <w:p w14:paraId="7449F8D9" w14:textId="77777777" w:rsidR="005833DF" w:rsidRDefault="005833DF">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31 </w:t>
            </w:r>
          </w:p>
        </w:tc>
        <w:tc>
          <w:tcPr>
            <w:tcW w:w="766" w:type="dxa"/>
            <w:tcBorders>
              <w:top w:val="nil"/>
              <w:left w:val="nil"/>
              <w:bottom w:val="single" w:sz="4" w:space="0" w:color="auto"/>
              <w:right w:val="nil"/>
            </w:tcBorders>
            <w:shd w:val="clear" w:color="auto" w:fill="BFBFBF" w:themeFill="background1" w:themeFillShade="BF"/>
            <w:vAlign w:val="center"/>
            <w:hideMark/>
          </w:tcPr>
          <w:p w14:paraId="54DC9457" w14:textId="77777777" w:rsidR="005833DF" w:rsidRDefault="005833DF">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4 </w:t>
            </w:r>
          </w:p>
        </w:tc>
        <w:tc>
          <w:tcPr>
            <w:tcW w:w="766" w:type="dxa"/>
            <w:tcBorders>
              <w:top w:val="nil"/>
              <w:left w:val="nil"/>
              <w:bottom w:val="single" w:sz="4" w:space="0" w:color="auto"/>
              <w:right w:val="nil"/>
            </w:tcBorders>
            <w:shd w:val="clear" w:color="auto" w:fill="BFBFBF" w:themeFill="background1" w:themeFillShade="BF"/>
            <w:vAlign w:val="center"/>
            <w:hideMark/>
          </w:tcPr>
          <w:p w14:paraId="2D33C305" w14:textId="77777777" w:rsidR="005833DF" w:rsidRDefault="005833DF">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35 </w:t>
            </w:r>
          </w:p>
        </w:tc>
      </w:tr>
      <w:tr w:rsidR="005833DF" w14:paraId="2D2CE9D3" w14:textId="77777777" w:rsidTr="00AC5BCF">
        <w:trPr>
          <w:trHeight w:val="303"/>
        </w:trPr>
        <w:tc>
          <w:tcPr>
            <w:tcW w:w="1594" w:type="dxa"/>
            <w:tcBorders>
              <w:top w:val="nil"/>
              <w:left w:val="nil"/>
              <w:bottom w:val="single" w:sz="4" w:space="0" w:color="auto"/>
              <w:right w:val="nil"/>
            </w:tcBorders>
            <w:shd w:val="clear" w:color="000000" w:fill="FFFFFF"/>
            <w:vAlign w:val="center"/>
            <w:hideMark/>
          </w:tcPr>
          <w:p w14:paraId="23486726" w14:textId="77777777" w:rsidR="005833DF" w:rsidRDefault="005833DF">
            <w:pPr>
              <w:rPr>
                <w:rFonts w:ascii="Arial Narrow" w:hAnsi="Arial Narrow" w:cs="Calibri"/>
                <w:color w:val="000000"/>
                <w:sz w:val="18"/>
                <w:szCs w:val="18"/>
              </w:rPr>
            </w:pPr>
            <w:r>
              <w:rPr>
                <w:rFonts w:ascii="Arial Narrow" w:hAnsi="Arial Narrow" w:cs="Calibri"/>
                <w:color w:val="000000"/>
                <w:sz w:val="18"/>
                <w:szCs w:val="18"/>
              </w:rPr>
              <w:t>Intermedio</w:t>
            </w:r>
          </w:p>
        </w:tc>
        <w:tc>
          <w:tcPr>
            <w:tcW w:w="766" w:type="dxa"/>
            <w:tcBorders>
              <w:top w:val="nil"/>
              <w:left w:val="nil"/>
              <w:bottom w:val="single" w:sz="4" w:space="0" w:color="auto"/>
              <w:right w:val="nil"/>
            </w:tcBorders>
            <w:shd w:val="clear" w:color="auto" w:fill="BFBFBF" w:themeFill="background1" w:themeFillShade="BF"/>
            <w:vAlign w:val="center"/>
            <w:hideMark/>
          </w:tcPr>
          <w:p w14:paraId="2BA9DB72"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 xml:space="preserve">          24 </w:t>
            </w:r>
          </w:p>
        </w:tc>
        <w:tc>
          <w:tcPr>
            <w:tcW w:w="766" w:type="dxa"/>
            <w:tcBorders>
              <w:top w:val="nil"/>
              <w:left w:val="nil"/>
              <w:bottom w:val="single" w:sz="4" w:space="0" w:color="auto"/>
              <w:right w:val="nil"/>
            </w:tcBorders>
            <w:shd w:val="clear" w:color="auto" w:fill="BFBFBF" w:themeFill="background1" w:themeFillShade="BF"/>
            <w:vAlign w:val="center"/>
            <w:hideMark/>
          </w:tcPr>
          <w:p w14:paraId="2E54788F"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18,3</w:t>
            </w:r>
          </w:p>
        </w:tc>
        <w:tc>
          <w:tcPr>
            <w:tcW w:w="766" w:type="dxa"/>
            <w:tcBorders>
              <w:top w:val="nil"/>
              <w:left w:val="nil"/>
              <w:bottom w:val="single" w:sz="4" w:space="0" w:color="auto"/>
              <w:right w:val="nil"/>
            </w:tcBorders>
            <w:shd w:val="clear" w:color="000000" w:fill="FFFFFF"/>
            <w:noWrap/>
            <w:vAlign w:val="center"/>
            <w:hideMark/>
          </w:tcPr>
          <w:p w14:paraId="79A1DF1C"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294</w:t>
            </w:r>
          </w:p>
        </w:tc>
        <w:tc>
          <w:tcPr>
            <w:tcW w:w="766" w:type="dxa"/>
            <w:tcBorders>
              <w:top w:val="nil"/>
              <w:left w:val="nil"/>
              <w:bottom w:val="single" w:sz="4" w:space="0" w:color="auto"/>
              <w:right w:val="nil"/>
            </w:tcBorders>
            <w:shd w:val="clear" w:color="000000" w:fill="FFFFFF"/>
            <w:vAlign w:val="center"/>
            <w:hideMark/>
          </w:tcPr>
          <w:p w14:paraId="51F93B38"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32,0</w:t>
            </w:r>
          </w:p>
        </w:tc>
        <w:tc>
          <w:tcPr>
            <w:tcW w:w="766" w:type="dxa"/>
            <w:tcBorders>
              <w:top w:val="nil"/>
              <w:left w:val="nil"/>
              <w:bottom w:val="single" w:sz="4" w:space="0" w:color="auto"/>
              <w:right w:val="nil"/>
            </w:tcBorders>
            <w:shd w:val="clear" w:color="auto" w:fill="BFBFBF" w:themeFill="background1" w:themeFillShade="BF"/>
            <w:noWrap/>
            <w:vAlign w:val="center"/>
            <w:hideMark/>
          </w:tcPr>
          <w:p w14:paraId="6161AB88"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9</w:t>
            </w:r>
          </w:p>
        </w:tc>
        <w:tc>
          <w:tcPr>
            <w:tcW w:w="766" w:type="dxa"/>
            <w:tcBorders>
              <w:top w:val="nil"/>
              <w:left w:val="nil"/>
              <w:bottom w:val="single" w:sz="4" w:space="0" w:color="auto"/>
              <w:right w:val="nil"/>
            </w:tcBorders>
            <w:shd w:val="clear" w:color="auto" w:fill="BFBFBF" w:themeFill="background1" w:themeFillShade="BF"/>
            <w:vAlign w:val="center"/>
            <w:hideMark/>
          </w:tcPr>
          <w:p w14:paraId="7AFE7897"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25,0</w:t>
            </w:r>
          </w:p>
        </w:tc>
        <w:tc>
          <w:tcPr>
            <w:tcW w:w="766" w:type="dxa"/>
            <w:tcBorders>
              <w:top w:val="nil"/>
              <w:left w:val="nil"/>
              <w:bottom w:val="single" w:sz="4" w:space="0" w:color="auto"/>
              <w:right w:val="nil"/>
            </w:tcBorders>
            <w:shd w:val="clear" w:color="000000" w:fill="FFFFFF"/>
            <w:noWrap/>
            <w:vAlign w:val="center"/>
            <w:hideMark/>
          </w:tcPr>
          <w:p w14:paraId="0F65202F"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405</w:t>
            </w:r>
          </w:p>
        </w:tc>
        <w:tc>
          <w:tcPr>
            <w:tcW w:w="766" w:type="dxa"/>
            <w:tcBorders>
              <w:top w:val="nil"/>
              <w:left w:val="nil"/>
              <w:bottom w:val="single" w:sz="4" w:space="0" w:color="auto"/>
              <w:right w:val="nil"/>
            </w:tcBorders>
            <w:shd w:val="clear" w:color="000000" w:fill="FFFFFF"/>
            <w:vAlign w:val="center"/>
            <w:hideMark/>
          </w:tcPr>
          <w:p w14:paraId="35907122"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30,4</w:t>
            </w:r>
          </w:p>
        </w:tc>
        <w:tc>
          <w:tcPr>
            <w:tcW w:w="766" w:type="dxa"/>
            <w:tcBorders>
              <w:top w:val="nil"/>
              <w:left w:val="nil"/>
              <w:bottom w:val="single" w:sz="4" w:space="0" w:color="auto"/>
              <w:right w:val="nil"/>
            </w:tcBorders>
            <w:shd w:val="clear" w:color="auto" w:fill="BFBFBF" w:themeFill="background1" w:themeFillShade="BF"/>
            <w:vAlign w:val="center"/>
            <w:hideMark/>
          </w:tcPr>
          <w:p w14:paraId="0150F8D3"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 xml:space="preserve">85 </w:t>
            </w:r>
          </w:p>
        </w:tc>
        <w:tc>
          <w:tcPr>
            <w:tcW w:w="766" w:type="dxa"/>
            <w:tcBorders>
              <w:top w:val="nil"/>
              <w:left w:val="nil"/>
              <w:bottom w:val="single" w:sz="4" w:space="0" w:color="auto"/>
              <w:right w:val="nil"/>
            </w:tcBorders>
            <w:shd w:val="clear" w:color="auto" w:fill="BFBFBF" w:themeFill="background1" w:themeFillShade="BF"/>
            <w:vAlign w:val="center"/>
            <w:hideMark/>
          </w:tcPr>
          <w:p w14:paraId="1A667778"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 xml:space="preserve">5 </w:t>
            </w:r>
          </w:p>
        </w:tc>
        <w:tc>
          <w:tcPr>
            <w:tcW w:w="766" w:type="dxa"/>
            <w:tcBorders>
              <w:top w:val="nil"/>
              <w:left w:val="nil"/>
              <w:bottom w:val="single" w:sz="4" w:space="0" w:color="auto"/>
              <w:right w:val="nil"/>
            </w:tcBorders>
            <w:shd w:val="clear" w:color="auto" w:fill="BFBFBF" w:themeFill="background1" w:themeFillShade="BF"/>
            <w:vAlign w:val="center"/>
            <w:hideMark/>
          </w:tcPr>
          <w:p w14:paraId="6801EEA4"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 xml:space="preserve">81 </w:t>
            </w:r>
          </w:p>
        </w:tc>
      </w:tr>
      <w:tr w:rsidR="005833DF" w14:paraId="551EEA71" w14:textId="77777777" w:rsidTr="00AC5BCF">
        <w:trPr>
          <w:trHeight w:val="303"/>
        </w:trPr>
        <w:tc>
          <w:tcPr>
            <w:tcW w:w="1594" w:type="dxa"/>
            <w:tcBorders>
              <w:top w:val="nil"/>
              <w:left w:val="nil"/>
              <w:bottom w:val="single" w:sz="4" w:space="0" w:color="auto"/>
              <w:right w:val="nil"/>
            </w:tcBorders>
            <w:shd w:val="clear" w:color="000000" w:fill="FFFFFF"/>
            <w:vAlign w:val="center"/>
            <w:hideMark/>
          </w:tcPr>
          <w:p w14:paraId="2F131686" w14:textId="77777777" w:rsidR="005833DF" w:rsidRDefault="005833DF">
            <w:pPr>
              <w:rPr>
                <w:rFonts w:ascii="Arial Narrow" w:hAnsi="Arial Narrow" w:cs="Calibri"/>
                <w:color w:val="000000"/>
                <w:sz w:val="18"/>
                <w:szCs w:val="18"/>
              </w:rPr>
            </w:pPr>
            <w:r>
              <w:rPr>
                <w:rFonts w:ascii="Arial Narrow" w:hAnsi="Arial Narrow" w:cs="Calibri"/>
                <w:color w:val="000000"/>
                <w:sz w:val="18"/>
                <w:szCs w:val="18"/>
              </w:rPr>
              <w:t>Periferico</w:t>
            </w:r>
          </w:p>
        </w:tc>
        <w:tc>
          <w:tcPr>
            <w:tcW w:w="766" w:type="dxa"/>
            <w:tcBorders>
              <w:top w:val="nil"/>
              <w:left w:val="nil"/>
              <w:bottom w:val="single" w:sz="4" w:space="0" w:color="auto"/>
              <w:right w:val="nil"/>
            </w:tcBorders>
            <w:shd w:val="clear" w:color="auto" w:fill="BFBFBF" w:themeFill="background1" w:themeFillShade="BF"/>
            <w:vAlign w:val="center"/>
            <w:hideMark/>
          </w:tcPr>
          <w:p w14:paraId="0A53E87A"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 xml:space="preserve">          51 </w:t>
            </w:r>
          </w:p>
        </w:tc>
        <w:tc>
          <w:tcPr>
            <w:tcW w:w="766" w:type="dxa"/>
            <w:tcBorders>
              <w:top w:val="nil"/>
              <w:left w:val="nil"/>
              <w:bottom w:val="single" w:sz="4" w:space="0" w:color="auto"/>
              <w:right w:val="nil"/>
            </w:tcBorders>
            <w:shd w:val="clear" w:color="auto" w:fill="BFBFBF" w:themeFill="background1" w:themeFillShade="BF"/>
            <w:vAlign w:val="center"/>
            <w:hideMark/>
          </w:tcPr>
          <w:p w14:paraId="500A42F9"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38,9</w:t>
            </w:r>
          </w:p>
        </w:tc>
        <w:tc>
          <w:tcPr>
            <w:tcW w:w="766" w:type="dxa"/>
            <w:tcBorders>
              <w:top w:val="nil"/>
              <w:left w:val="nil"/>
              <w:bottom w:val="single" w:sz="4" w:space="0" w:color="auto"/>
              <w:right w:val="nil"/>
            </w:tcBorders>
            <w:shd w:val="clear" w:color="000000" w:fill="FFFFFF"/>
            <w:noWrap/>
            <w:vAlign w:val="center"/>
            <w:hideMark/>
          </w:tcPr>
          <w:p w14:paraId="34B81C34"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315</w:t>
            </w:r>
          </w:p>
        </w:tc>
        <w:tc>
          <w:tcPr>
            <w:tcW w:w="766" w:type="dxa"/>
            <w:tcBorders>
              <w:top w:val="nil"/>
              <w:left w:val="nil"/>
              <w:bottom w:val="single" w:sz="4" w:space="0" w:color="auto"/>
              <w:right w:val="nil"/>
            </w:tcBorders>
            <w:shd w:val="clear" w:color="000000" w:fill="FFFFFF"/>
            <w:vAlign w:val="center"/>
            <w:hideMark/>
          </w:tcPr>
          <w:p w14:paraId="161ED740"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34,3</w:t>
            </w:r>
          </w:p>
        </w:tc>
        <w:tc>
          <w:tcPr>
            <w:tcW w:w="766" w:type="dxa"/>
            <w:tcBorders>
              <w:top w:val="nil"/>
              <w:left w:val="nil"/>
              <w:bottom w:val="single" w:sz="4" w:space="0" w:color="auto"/>
              <w:right w:val="nil"/>
            </w:tcBorders>
            <w:shd w:val="clear" w:color="auto" w:fill="BFBFBF" w:themeFill="background1" w:themeFillShade="BF"/>
            <w:noWrap/>
            <w:vAlign w:val="center"/>
            <w:hideMark/>
          </w:tcPr>
          <w:p w14:paraId="38347C5B"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17</w:t>
            </w:r>
          </w:p>
        </w:tc>
        <w:tc>
          <w:tcPr>
            <w:tcW w:w="766" w:type="dxa"/>
            <w:tcBorders>
              <w:top w:val="nil"/>
              <w:left w:val="nil"/>
              <w:bottom w:val="single" w:sz="4" w:space="0" w:color="auto"/>
              <w:right w:val="nil"/>
            </w:tcBorders>
            <w:shd w:val="clear" w:color="auto" w:fill="BFBFBF" w:themeFill="background1" w:themeFillShade="BF"/>
            <w:vAlign w:val="center"/>
            <w:hideMark/>
          </w:tcPr>
          <w:p w14:paraId="50937B2F"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47,2</w:t>
            </w:r>
          </w:p>
        </w:tc>
        <w:tc>
          <w:tcPr>
            <w:tcW w:w="766" w:type="dxa"/>
            <w:tcBorders>
              <w:top w:val="nil"/>
              <w:left w:val="nil"/>
              <w:bottom w:val="single" w:sz="4" w:space="0" w:color="auto"/>
              <w:right w:val="nil"/>
            </w:tcBorders>
            <w:shd w:val="clear" w:color="000000" w:fill="FFFFFF"/>
            <w:noWrap/>
            <w:vAlign w:val="center"/>
            <w:hideMark/>
          </w:tcPr>
          <w:p w14:paraId="44E9A8E5"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485</w:t>
            </w:r>
          </w:p>
        </w:tc>
        <w:tc>
          <w:tcPr>
            <w:tcW w:w="766" w:type="dxa"/>
            <w:tcBorders>
              <w:top w:val="nil"/>
              <w:left w:val="nil"/>
              <w:bottom w:val="single" w:sz="4" w:space="0" w:color="auto"/>
              <w:right w:val="nil"/>
            </w:tcBorders>
            <w:shd w:val="clear" w:color="000000" w:fill="FFFFFF"/>
            <w:vAlign w:val="center"/>
            <w:hideMark/>
          </w:tcPr>
          <w:p w14:paraId="53012578"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36,4</w:t>
            </w:r>
          </w:p>
        </w:tc>
        <w:tc>
          <w:tcPr>
            <w:tcW w:w="766" w:type="dxa"/>
            <w:tcBorders>
              <w:top w:val="nil"/>
              <w:left w:val="nil"/>
              <w:bottom w:val="single" w:sz="4" w:space="0" w:color="auto"/>
              <w:right w:val="nil"/>
            </w:tcBorders>
            <w:shd w:val="clear" w:color="auto" w:fill="BFBFBF" w:themeFill="background1" w:themeFillShade="BF"/>
            <w:vAlign w:val="center"/>
            <w:hideMark/>
          </w:tcPr>
          <w:p w14:paraId="6E0742FC"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 xml:space="preserve">86 </w:t>
            </w:r>
          </w:p>
        </w:tc>
        <w:tc>
          <w:tcPr>
            <w:tcW w:w="766" w:type="dxa"/>
            <w:tcBorders>
              <w:top w:val="nil"/>
              <w:left w:val="nil"/>
              <w:bottom w:val="single" w:sz="4" w:space="0" w:color="auto"/>
              <w:right w:val="nil"/>
            </w:tcBorders>
            <w:shd w:val="clear" w:color="auto" w:fill="BFBFBF" w:themeFill="background1" w:themeFillShade="BF"/>
            <w:vAlign w:val="center"/>
            <w:hideMark/>
          </w:tcPr>
          <w:p w14:paraId="27A1A7F2"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 xml:space="preserve">8 </w:t>
            </w:r>
          </w:p>
        </w:tc>
        <w:tc>
          <w:tcPr>
            <w:tcW w:w="766" w:type="dxa"/>
            <w:tcBorders>
              <w:top w:val="nil"/>
              <w:left w:val="nil"/>
              <w:bottom w:val="single" w:sz="4" w:space="0" w:color="auto"/>
              <w:right w:val="nil"/>
            </w:tcBorders>
            <w:shd w:val="clear" w:color="auto" w:fill="BFBFBF" w:themeFill="background1" w:themeFillShade="BF"/>
            <w:vAlign w:val="center"/>
            <w:hideMark/>
          </w:tcPr>
          <w:p w14:paraId="7FB4C60D"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 xml:space="preserve">88 </w:t>
            </w:r>
          </w:p>
        </w:tc>
      </w:tr>
      <w:tr w:rsidR="005833DF" w14:paraId="0F6FCB37" w14:textId="77777777" w:rsidTr="00AC5BCF">
        <w:trPr>
          <w:trHeight w:val="303"/>
        </w:trPr>
        <w:tc>
          <w:tcPr>
            <w:tcW w:w="1594" w:type="dxa"/>
            <w:tcBorders>
              <w:top w:val="nil"/>
              <w:left w:val="nil"/>
              <w:bottom w:val="single" w:sz="4" w:space="0" w:color="auto"/>
              <w:right w:val="nil"/>
            </w:tcBorders>
            <w:shd w:val="clear" w:color="000000" w:fill="FFFFFF"/>
            <w:vAlign w:val="center"/>
            <w:hideMark/>
          </w:tcPr>
          <w:p w14:paraId="1E14C57F" w14:textId="77777777" w:rsidR="005833DF" w:rsidRDefault="005833DF">
            <w:pPr>
              <w:rPr>
                <w:rFonts w:ascii="Arial Narrow" w:hAnsi="Arial Narrow" w:cs="Calibri"/>
                <w:color w:val="000000"/>
                <w:sz w:val="18"/>
                <w:szCs w:val="18"/>
              </w:rPr>
            </w:pPr>
            <w:r>
              <w:rPr>
                <w:rFonts w:ascii="Arial Narrow" w:hAnsi="Arial Narrow" w:cs="Calibri"/>
                <w:color w:val="000000"/>
                <w:sz w:val="18"/>
                <w:szCs w:val="18"/>
              </w:rPr>
              <w:t>Ultraperiferico</w:t>
            </w:r>
          </w:p>
        </w:tc>
        <w:tc>
          <w:tcPr>
            <w:tcW w:w="766" w:type="dxa"/>
            <w:tcBorders>
              <w:top w:val="nil"/>
              <w:left w:val="nil"/>
              <w:bottom w:val="single" w:sz="4" w:space="0" w:color="auto"/>
              <w:right w:val="nil"/>
            </w:tcBorders>
            <w:shd w:val="clear" w:color="auto" w:fill="BFBFBF" w:themeFill="background1" w:themeFillShade="BF"/>
            <w:vAlign w:val="center"/>
            <w:hideMark/>
          </w:tcPr>
          <w:p w14:paraId="1DE967D0"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 xml:space="preserve">          44 </w:t>
            </w:r>
          </w:p>
        </w:tc>
        <w:tc>
          <w:tcPr>
            <w:tcW w:w="766" w:type="dxa"/>
            <w:tcBorders>
              <w:top w:val="nil"/>
              <w:left w:val="nil"/>
              <w:bottom w:val="single" w:sz="4" w:space="0" w:color="auto"/>
              <w:right w:val="nil"/>
            </w:tcBorders>
            <w:shd w:val="clear" w:color="auto" w:fill="BFBFBF" w:themeFill="background1" w:themeFillShade="BF"/>
            <w:vAlign w:val="center"/>
            <w:hideMark/>
          </w:tcPr>
          <w:p w14:paraId="1E4065C4"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33,6</w:t>
            </w:r>
          </w:p>
        </w:tc>
        <w:tc>
          <w:tcPr>
            <w:tcW w:w="766" w:type="dxa"/>
            <w:tcBorders>
              <w:top w:val="nil"/>
              <w:left w:val="nil"/>
              <w:bottom w:val="single" w:sz="4" w:space="0" w:color="auto"/>
              <w:right w:val="nil"/>
            </w:tcBorders>
            <w:shd w:val="clear" w:color="000000" w:fill="FFFFFF"/>
            <w:noWrap/>
            <w:vAlign w:val="center"/>
            <w:hideMark/>
          </w:tcPr>
          <w:p w14:paraId="278CC375"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102</w:t>
            </w:r>
          </w:p>
        </w:tc>
        <w:tc>
          <w:tcPr>
            <w:tcW w:w="766" w:type="dxa"/>
            <w:tcBorders>
              <w:top w:val="nil"/>
              <w:left w:val="nil"/>
              <w:bottom w:val="single" w:sz="4" w:space="0" w:color="auto"/>
              <w:right w:val="nil"/>
            </w:tcBorders>
            <w:shd w:val="clear" w:color="000000" w:fill="FFFFFF"/>
            <w:vAlign w:val="center"/>
            <w:hideMark/>
          </w:tcPr>
          <w:p w14:paraId="5E331C45"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11,1</w:t>
            </w:r>
          </w:p>
        </w:tc>
        <w:tc>
          <w:tcPr>
            <w:tcW w:w="766" w:type="dxa"/>
            <w:tcBorders>
              <w:top w:val="nil"/>
              <w:left w:val="nil"/>
              <w:bottom w:val="single" w:sz="4" w:space="0" w:color="auto"/>
              <w:right w:val="nil"/>
            </w:tcBorders>
            <w:shd w:val="clear" w:color="auto" w:fill="BFBFBF" w:themeFill="background1" w:themeFillShade="BF"/>
            <w:noWrap/>
            <w:vAlign w:val="center"/>
            <w:hideMark/>
          </w:tcPr>
          <w:p w14:paraId="69D068D1"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4</w:t>
            </w:r>
          </w:p>
        </w:tc>
        <w:tc>
          <w:tcPr>
            <w:tcW w:w="766" w:type="dxa"/>
            <w:tcBorders>
              <w:top w:val="nil"/>
              <w:left w:val="nil"/>
              <w:bottom w:val="single" w:sz="4" w:space="0" w:color="auto"/>
              <w:right w:val="nil"/>
            </w:tcBorders>
            <w:shd w:val="clear" w:color="auto" w:fill="BFBFBF" w:themeFill="background1" w:themeFillShade="BF"/>
            <w:vAlign w:val="center"/>
            <w:hideMark/>
          </w:tcPr>
          <w:p w14:paraId="7B520D63"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11,1</w:t>
            </w:r>
          </w:p>
        </w:tc>
        <w:tc>
          <w:tcPr>
            <w:tcW w:w="766" w:type="dxa"/>
            <w:tcBorders>
              <w:top w:val="nil"/>
              <w:left w:val="nil"/>
              <w:bottom w:val="single" w:sz="4" w:space="0" w:color="auto"/>
              <w:right w:val="nil"/>
            </w:tcBorders>
            <w:shd w:val="clear" w:color="000000" w:fill="FFFFFF"/>
            <w:noWrap/>
            <w:vAlign w:val="center"/>
            <w:hideMark/>
          </w:tcPr>
          <w:p w14:paraId="15D88BA6"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162</w:t>
            </w:r>
          </w:p>
        </w:tc>
        <w:tc>
          <w:tcPr>
            <w:tcW w:w="766" w:type="dxa"/>
            <w:tcBorders>
              <w:top w:val="nil"/>
              <w:left w:val="nil"/>
              <w:bottom w:val="single" w:sz="4" w:space="0" w:color="auto"/>
              <w:right w:val="nil"/>
            </w:tcBorders>
            <w:shd w:val="clear" w:color="000000" w:fill="FFFFFF"/>
            <w:vAlign w:val="center"/>
            <w:hideMark/>
          </w:tcPr>
          <w:p w14:paraId="2F721C5F"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12,2</w:t>
            </w:r>
          </w:p>
        </w:tc>
        <w:tc>
          <w:tcPr>
            <w:tcW w:w="766" w:type="dxa"/>
            <w:tcBorders>
              <w:top w:val="nil"/>
              <w:left w:val="nil"/>
              <w:bottom w:val="single" w:sz="4" w:space="0" w:color="auto"/>
              <w:right w:val="nil"/>
            </w:tcBorders>
            <w:shd w:val="clear" w:color="auto" w:fill="BFBFBF" w:themeFill="background1" w:themeFillShade="BF"/>
            <w:vAlign w:val="center"/>
            <w:hideMark/>
          </w:tcPr>
          <w:p w14:paraId="47B743C6"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 xml:space="preserve">39 </w:t>
            </w:r>
          </w:p>
        </w:tc>
        <w:tc>
          <w:tcPr>
            <w:tcW w:w="766" w:type="dxa"/>
            <w:tcBorders>
              <w:top w:val="nil"/>
              <w:left w:val="nil"/>
              <w:bottom w:val="single" w:sz="4" w:space="0" w:color="auto"/>
              <w:right w:val="nil"/>
            </w:tcBorders>
            <w:shd w:val="clear" w:color="auto" w:fill="BFBFBF" w:themeFill="background1" w:themeFillShade="BF"/>
            <w:vAlign w:val="center"/>
            <w:hideMark/>
          </w:tcPr>
          <w:p w14:paraId="5CAFE5E9"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 xml:space="preserve">1 </w:t>
            </w:r>
          </w:p>
        </w:tc>
        <w:tc>
          <w:tcPr>
            <w:tcW w:w="766" w:type="dxa"/>
            <w:tcBorders>
              <w:top w:val="nil"/>
              <w:left w:val="nil"/>
              <w:bottom w:val="single" w:sz="4" w:space="0" w:color="auto"/>
              <w:right w:val="nil"/>
            </w:tcBorders>
            <w:shd w:val="clear" w:color="auto" w:fill="BFBFBF" w:themeFill="background1" w:themeFillShade="BF"/>
            <w:vAlign w:val="center"/>
            <w:hideMark/>
          </w:tcPr>
          <w:p w14:paraId="6313F375" w14:textId="77777777" w:rsidR="005833DF" w:rsidRDefault="005833DF">
            <w:pPr>
              <w:jc w:val="right"/>
              <w:rPr>
                <w:rFonts w:ascii="Arial Narrow" w:hAnsi="Arial Narrow" w:cs="Calibri"/>
                <w:color w:val="000000"/>
                <w:sz w:val="18"/>
                <w:szCs w:val="18"/>
              </w:rPr>
            </w:pPr>
            <w:r>
              <w:rPr>
                <w:rFonts w:ascii="Arial Narrow" w:hAnsi="Arial Narrow" w:cs="Calibri"/>
                <w:color w:val="000000"/>
                <w:sz w:val="18"/>
                <w:szCs w:val="18"/>
              </w:rPr>
              <w:t xml:space="preserve">73 </w:t>
            </w:r>
          </w:p>
        </w:tc>
      </w:tr>
      <w:tr w:rsidR="005833DF" w14:paraId="3B5CB19B" w14:textId="77777777" w:rsidTr="00AC5BCF">
        <w:trPr>
          <w:trHeight w:val="303"/>
        </w:trPr>
        <w:tc>
          <w:tcPr>
            <w:tcW w:w="1594" w:type="dxa"/>
            <w:tcBorders>
              <w:top w:val="nil"/>
              <w:left w:val="nil"/>
              <w:bottom w:val="single" w:sz="4" w:space="0" w:color="auto"/>
              <w:right w:val="nil"/>
            </w:tcBorders>
            <w:shd w:val="clear" w:color="auto" w:fill="auto"/>
            <w:vAlign w:val="center"/>
            <w:hideMark/>
          </w:tcPr>
          <w:p w14:paraId="4ED3AC2F" w14:textId="77777777" w:rsidR="005833DF" w:rsidRDefault="005833DF">
            <w:pPr>
              <w:rPr>
                <w:rFonts w:ascii="Arial Narrow" w:hAnsi="Arial Narrow" w:cs="Calibri"/>
                <w:b/>
                <w:bCs/>
                <w:color w:val="000000"/>
                <w:sz w:val="18"/>
                <w:szCs w:val="18"/>
              </w:rPr>
            </w:pPr>
            <w:r>
              <w:rPr>
                <w:rFonts w:ascii="Arial Narrow" w:hAnsi="Arial Narrow" w:cs="Calibri"/>
                <w:b/>
                <w:bCs/>
                <w:color w:val="000000"/>
                <w:sz w:val="18"/>
                <w:szCs w:val="18"/>
              </w:rPr>
              <w:t>Totale Aree Interne</w:t>
            </w:r>
          </w:p>
        </w:tc>
        <w:tc>
          <w:tcPr>
            <w:tcW w:w="766" w:type="dxa"/>
            <w:tcBorders>
              <w:top w:val="nil"/>
              <w:left w:val="nil"/>
              <w:bottom w:val="single" w:sz="4" w:space="0" w:color="auto"/>
              <w:right w:val="nil"/>
            </w:tcBorders>
            <w:shd w:val="clear" w:color="auto" w:fill="BFBFBF" w:themeFill="background1" w:themeFillShade="BF"/>
            <w:vAlign w:val="center"/>
            <w:hideMark/>
          </w:tcPr>
          <w:p w14:paraId="2981718D" w14:textId="77777777" w:rsidR="005833DF" w:rsidRDefault="005833DF">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        119 </w:t>
            </w:r>
          </w:p>
        </w:tc>
        <w:tc>
          <w:tcPr>
            <w:tcW w:w="766" w:type="dxa"/>
            <w:tcBorders>
              <w:top w:val="nil"/>
              <w:left w:val="nil"/>
              <w:bottom w:val="single" w:sz="4" w:space="0" w:color="auto"/>
              <w:right w:val="nil"/>
            </w:tcBorders>
            <w:shd w:val="clear" w:color="auto" w:fill="BFBFBF" w:themeFill="background1" w:themeFillShade="BF"/>
            <w:vAlign w:val="center"/>
            <w:hideMark/>
          </w:tcPr>
          <w:p w14:paraId="65EDE5F8" w14:textId="77777777" w:rsidR="005833DF" w:rsidRDefault="005833DF">
            <w:pPr>
              <w:jc w:val="right"/>
              <w:rPr>
                <w:rFonts w:ascii="Arial Narrow" w:hAnsi="Arial Narrow" w:cs="Calibri"/>
                <w:b/>
                <w:bCs/>
                <w:color w:val="000000"/>
                <w:sz w:val="18"/>
                <w:szCs w:val="18"/>
              </w:rPr>
            </w:pPr>
            <w:r>
              <w:rPr>
                <w:rFonts w:ascii="Arial Narrow" w:hAnsi="Arial Narrow" w:cs="Calibri"/>
                <w:b/>
                <w:bCs/>
                <w:color w:val="000000"/>
                <w:sz w:val="18"/>
                <w:szCs w:val="18"/>
              </w:rPr>
              <w:t>90,8</w:t>
            </w:r>
          </w:p>
        </w:tc>
        <w:tc>
          <w:tcPr>
            <w:tcW w:w="766" w:type="dxa"/>
            <w:tcBorders>
              <w:top w:val="nil"/>
              <w:left w:val="nil"/>
              <w:bottom w:val="single" w:sz="4" w:space="0" w:color="auto"/>
              <w:right w:val="nil"/>
            </w:tcBorders>
            <w:shd w:val="clear" w:color="000000" w:fill="FFFFFF"/>
            <w:vAlign w:val="center"/>
            <w:hideMark/>
          </w:tcPr>
          <w:p w14:paraId="729C3A53" w14:textId="77777777" w:rsidR="005833DF" w:rsidRDefault="005833DF">
            <w:pPr>
              <w:jc w:val="right"/>
              <w:rPr>
                <w:rFonts w:ascii="Arial Narrow" w:hAnsi="Arial Narrow" w:cs="Calibri"/>
                <w:b/>
                <w:bCs/>
                <w:color w:val="000000"/>
                <w:sz w:val="18"/>
                <w:szCs w:val="18"/>
              </w:rPr>
            </w:pPr>
            <w:r>
              <w:rPr>
                <w:rFonts w:ascii="Arial Narrow" w:hAnsi="Arial Narrow" w:cs="Calibri"/>
                <w:b/>
                <w:bCs/>
                <w:color w:val="000000"/>
                <w:sz w:val="18"/>
                <w:szCs w:val="18"/>
              </w:rPr>
              <w:t>711</w:t>
            </w:r>
          </w:p>
        </w:tc>
        <w:tc>
          <w:tcPr>
            <w:tcW w:w="766" w:type="dxa"/>
            <w:tcBorders>
              <w:top w:val="nil"/>
              <w:left w:val="nil"/>
              <w:bottom w:val="single" w:sz="4" w:space="0" w:color="auto"/>
              <w:right w:val="nil"/>
            </w:tcBorders>
            <w:shd w:val="clear" w:color="000000" w:fill="FFFFFF"/>
            <w:vAlign w:val="center"/>
            <w:hideMark/>
          </w:tcPr>
          <w:p w14:paraId="6E767D2F" w14:textId="77777777" w:rsidR="005833DF" w:rsidRDefault="005833DF">
            <w:pPr>
              <w:jc w:val="right"/>
              <w:rPr>
                <w:rFonts w:ascii="Arial Narrow" w:hAnsi="Arial Narrow" w:cs="Calibri"/>
                <w:b/>
                <w:bCs/>
                <w:color w:val="000000"/>
                <w:sz w:val="18"/>
                <w:szCs w:val="18"/>
              </w:rPr>
            </w:pPr>
            <w:r>
              <w:rPr>
                <w:rFonts w:ascii="Arial Narrow" w:hAnsi="Arial Narrow" w:cs="Calibri"/>
                <w:b/>
                <w:bCs/>
                <w:color w:val="000000"/>
                <w:sz w:val="18"/>
                <w:szCs w:val="18"/>
              </w:rPr>
              <w:t>77,5</w:t>
            </w:r>
          </w:p>
        </w:tc>
        <w:tc>
          <w:tcPr>
            <w:tcW w:w="766" w:type="dxa"/>
            <w:tcBorders>
              <w:top w:val="nil"/>
              <w:left w:val="nil"/>
              <w:bottom w:val="single" w:sz="4" w:space="0" w:color="auto"/>
              <w:right w:val="nil"/>
            </w:tcBorders>
            <w:shd w:val="clear" w:color="auto" w:fill="BFBFBF" w:themeFill="background1" w:themeFillShade="BF"/>
            <w:vAlign w:val="center"/>
            <w:hideMark/>
          </w:tcPr>
          <w:p w14:paraId="52AD57CE" w14:textId="77777777" w:rsidR="005833DF" w:rsidRDefault="005833DF">
            <w:pPr>
              <w:jc w:val="right"/>
              <w:rPr>
                <w:rFonts w:ascii="Arial Narrow" w:hAnsi="Arial Narrow" w:cs="Calibri"/>
                <w:b/>
                <w:bCs/>
                <w:color w:val="000000"/>
                <w:sz w:val="18"/>
                <w:szCs w:val="18"/>
              </w:rPr>
            </w:pPr>
            <w:r>
              <w:rPr>
                <w:rFonts w:ascii="Arial Narrow" w:hAnsi="Arial Narrow" w:cs="Calibri"/>
                <w:b/>
                <w:bCs/>
                <w:color w:val="000000"/>
                <w:sz w:val="18"/>
                <w:szCs w:val="18"/>
              </w:rPr>
              <w:t>30</w:t>
            </w:r>
          </w:p>
        </w:tc>
        <w:tc>
          <w:tcPr>
            <w:tcW w:w="766" w:type="dxa"/>
            <w:tcBorders>
              <w:top w:val="nil"/>
              <w:left w:val="nil"/>
              <w:bottom w:val="single" w:sz="4" w:space="0" w:color="auto"/>
              <w:right w:val="nil"/>
            </w:tcBorders>
            <w:shd w:val="clear" w:color="auto" w:fill="BFBFBF" w:themeFill="background1" w:themeFillShade="BF"/>
            <w:vAlign w:val="center"/>
            <w:hideMark/>
          </w:tcPr>
          <w:p w14:paraId="5F0E4AAF" w14:textId="77777777" w:rsidR="005833DF" w:rsidRDefault="005833DF">
            <w:pPr>
              <w:jc w:val="right"/>
              <w:rPr>
                <w:rFonts w:ascii="Arial Narrow" w:hAnsi="Arial Narrow" w:cs="Calibri"/>
                <w:b/>
                <w:bCs/>
                <w:color w:val="000000"/>
                <w:sz w:val="18"/>
                <w:szCs w:val="18"/>
              </w:rPr>
            </w:pPr>
            <w:r>
              <w:rPr>
                <w:rFonts w:ascii="Arial Narrow" w:hAnsi="Arial Narrow" w:cs="Calibri"/>
                <w:b/>
                <w:bCs/>
                <w:color w:val="000000"/>
                <w:sz w:val="18"/>
                <w:szCs w:val="18"/>
              </w:rPr>
              <w:t>83,3</w:t>
            </w:r>
          </w:p>
        </w:tc>
        <w:tc>
          <w:tcPr>
            <w:tcW w:w="766" w:type="dxa"/>
            <w:tcBorders>
              <w:top w:val="nil"/>
              <w:left w:val="nil"/>
              <w:bottom w:val="single" w:sz="4" w:space="0" w:color="auto"/>
              <w:right w:val="nil"/>
            </w:tcBorders>
            <w:shd w:val="clear" w:color="000000" w:fill="FFFFFF"/>
            <w:vAlign w:val="center"/>
            <w:hideMark/>
          </w:tcPr>
          <w:p w14:paraId="4253F50A" w14:textId="77777777" w:rsidR="005833DF" w:rsidRDefault="005833DF">
            <w:pPr>
              <w:jc w:val="right"/>
              <w:rPr>
                <w:rFonts w:ascii="Arial Narrow" w:hAnsi="Arial Narrow" w:cs="Calibri"/>
                <w:b/>
                <w:bCs/>
                <w:color w:val="000000"/>
                <w:sz w:val="18"/>
                <w:szCs w:val="18"/>
              </w:rPr>
            </w:pPr>
            <w:r>
              <w:rPr>
                <w:rFonts w:ascii="Arial Narrow" w:hAnsi="Arial Narrow" w:cs="Calibri"/>
                <w:b/>
                <w:bCs/>
                <w:color w:val="000000"/>
                <w:sz w:val="18"/>
                <w:szCs w:val="18"/>
              </w:rPr>
              <w:t>1.052</w:t>
            </w:r>
          </w:p>
        </w:tc>
        <w:tc>
          <w:tcPr>
            <w:tcW w:w="766" w:type="dxa"/>
            <w:tcBorders>
              <w:top w:val="nil"/>
              <w:left w:val="nil"/>
              <w:bottom w:val="single" w:sz="4" w:space="0" w:color="auto"/>
              <w:right w:val="nil"/>
            </w:tcBorders>
            <w:shd w:val="clear" w:color="000000" w:fill="FFFFFF"/>
            <w:vAlign w:val="center"/>
            <w:hideMark/>
          </w:tcPr>
          <w:p w14:paraId="29EC55D4" w14:textId="77777777" w:rsidR="005833DF" w:rsidRDefault="005833DF">
            <w:pPr>
              <w:jc w:val="right"/>
              <w:rPr>
                <w:rFonts w:ascii="Arial Narrow" w:hAnsi="Arial Narrow" w:cs="Calibri"/>
                <w:b/>
                <w:bCs/>
                <w:color w:val="000000"/>
                <w:sz w:val="18"/>
                <w:szCs w:val="18"/>
              </w:rPr>
            </w:pPr>
            <w:r>
              <w:rPr>
                <w:rFonts w:ascii="Arial Narrow" w:hAnsi="Arial Narrow" w:cs="Calibri"/>
                <w:b/>
                <w:bCs/>
                <w:color w:val="000000"/>
                <w:sz w:val="18"/>
                <w:szCs w:val="18"/>
              </w:rPr>
              <w:t>78,9</w:t>
            </w:r>
          </w:p>
        </w:tc>
        <w:tc>
          <w:tcPr>
            <w:tcW w:w="766" w:type="dxa"/>
            <w:tcBorders>
              <w:top w:val="nil"/>
              <w:left w:val="nil"/>
              <w:bottom w:val="single" w:sz="4" w:space="0" w:color="auto"/>
              <w:right w:val="nil"/>
            </w:tcBorders>
            <w:shd w:val="clear" w:color="auto" w:fill="BFBFBF" w:themeFill="background1" w:themeFillShade="BF"/>
            <w:vAlign w:val="center"/>
            <w:hideMark/>
          </w:tcPr>
          <w:p w14:paraId="6AA56DA5" w14:textId="77777777" w:rsidR="005833DF" w:rsidRDefault="005833DF">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210 </w:t>
            </w:r>
          </w:p>
        </w:tc>
        <w:tc>
          <w:tcPr>
            <w:tcW w:w="766" w:type="dxa"/>
            <w:tcBorders>
              <w:top w:val="nil"/>
              <w:left w:val="nil"/>
              <w:bottom w:val="single" w:sz="4" w:space="0" w:color="auto"/>
              <w:right w:val="nil"/>
            </w:tcBorders>
            <w:shd w:val="clear" w:color="auto" w:fill="BFBFBF" w:themeFill="background1" w:themeFillShade="BF"/>
            <w:vAlign w:val="center"/>
            <w:hideMark/>
          </w:tcPr>
          <w:p w14:paraId="676C45A8" w14:textId="77777777" w:rsidR="005833DF" w:rsidRDefault="005833DF">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14 </w:t>
            </w:r>
          </w:p>
        </w:tc>
        <w:tc>
          <w:tcPr>
            <w:tcW w:w="766" w:type="dxa"/>
            <w:tcBorders>
              <w:top w:val="nil"/>
              <w:left w:val="nil"/>
              <w:bottom w:val="single" w:sz="4" w:space="0" w:color="auto"/>
              <w:right w:val="nil"/>
            </w:tcBorders>
            <w:shd w:val="clear" w:color="auto" w:fill="BFBFBF" w:themeFill="background1" w:themeFillShade="BF"/>
            <w:vAlign w:val="center"/>
            <w:hideMark/>
          </w:tcPr>
          <w:p w14:paraId="3FB91B64" w14:textId="77777777" w:rsidR="005833DF" w:rsidRDefault="005833DF">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242 </w:t>
            </w:r>
          </w:p>
        </w:tc>
      </w:tr>
      <w:tr w:rsidR="005833DF" w14:paraId="1655F5A5" w14:textId="77777777" w:rsidTr="001917AF">
        <w:trPr>
          <w:trHeight w:val="303"/>
        </w:trPr>
        <w:tc>
          <w:tcPr>
            <w:tcW w:w="1594" w:type="dxa"/>
            <w:tcBorders>
              <w:top w:val="nil"/>
              <w:left w:val="nil"/>
              <w:bottom w:val="single" w:sz="4" w:space="0" w:color="auto"/>
              <w:right w:val="nil"/>
            </w:tcBorders>
            <w:shd w:val="clear" w:color="000000" w:fill="A71433"/>
            <w:vAlign w:val="center"/>
            <w:hideMark/>
          </w:tcPr>
          <w:p w14:paraId="6E165ED3" w14:textId="77777777" w:rsidR="005833DF" w:rsidRDefault="005833DF">
            <w:pPr>
              <w:rPr>
                <w:rFonts w:ascii="Arial Narrow" w:hAnsi="Arial Narrow" w:cs="Calibri"/>
                <w:b/>
                <w:bCs/>
                <w:color w:val="FFFFFF"/>
                <w:sz w:val="18"/>
                <w:szCs w:val="18"/>
              </w:rPr>
            </w:pPr>
            <w:r>
              <w:rPr>
                <w:rFonts w:ascii="Arial Narrow" w:hAnsi="Arial Narrow" w:cs="Calibri"/>
                <w:b/>
                <w:bCs/>
                <w:color w:val="FFFFFF"/>
                <w:sz w:val="18"/>
                <w:szCs w:val="18"/>
              </w:rPr>
              <w:t>Basilicata</w:t>
            </w:r>
          </w:p>
        </w:tc>
        <w:tc>
          <w:tcPr>
            <w:tcW w:w="766" w:type="dxa"/>
            <w:tcBorders>
              <w:top w:val="nil"/>
              <w:left w:val="nil"/>
              <w:bottom w:val="single" w:sz="4" w:space="0" w:color="auto"/>
              <w:right w:val="nil"/>
            </w:tcBorders>
            <w:shd w:val="clear" w:color="000000" w:fill="A71433"/>
            <w:vAlign w:val="center"/>
            <w:hideMark/>
          </w:tcPr>
          <w:p w14:paraId="6B40A47C" w14:textId="77777777" w:rsidR="005833DF" w:rsidRDefault="005833DF">
            <w:pPr>
              <w:jc w:val="right"/>
              <w:rPr>
                <w:rFonts w:ascii="Arial Narrow" w:hAnsi="Arial Narrow" w:cs="Calibri"/>
                <w:b/>
                <w:bCs/>
                <w:color w:val="FFFFFF"/>
                <w:sz w:val="18"/>
                <w:szCs w:val="18"/>
              </w:rPr>
            </w:pPr>
            <w:r>
              <w:rPr>
                <w:rFonts w:ascii="Arial Narrow" w:hAnsi="Arial Narrow" w:cs="Calibri"/>
                <w:b/>
                <w:bCs/>
                <w:color w:val="FFFFFF"/>
                <w:sz w:val="18"/>
                <w:szCs w:val="18"/>
              </w:rPr>
              <w:t xml:space="preserve">        131 </w:t>
            </w:r>
          </w:p>
        </w:tc>
        <w:tc>
          <w:tcPr>
            <w:tcW w:w="766" w:type="dxa"/>
            <w:tcBorders>
              <w:top w:val="nil"/>
              <w:left w:val="nil"/>
              <w:bottom w:val="single" w:sz="4" w:space="0" w:color="auto"/>
              <w:right w:val="nil"/>
            </w:tcBorders>
            <w:shd w:val="clear" w:color="000000" w:fill="A71433"/>
            <w:vAlign w:val="center"/>
            <w:hideMark/>
          </w:tcPr>
          <w:p w14:paraId="29F30F2D" w14:textId="77777777" w:rsidR="005833DF" w:rsidRDefault="005833DF">
            <w:pPr>
              <w:jc w:val="right"/>
              <w:rPr>
                <w:rFonts w:ascii="Arial Narrow" w:hAnsi="Arial Narrow" w:cs="Calibri"/>
                <w:b/>
                <w:bCs/>
                <w:color w:val="FFFFFF"/>
                <w:sz w:val="18"/>
                <w:szCs w:val="18"/>
              </w:rPr>
            </w:pPr>
            <w:r>
              <w:rPr>
                <w:rFonts w:ascii="Arial Narrow" w:hAnsi="Arial Narrow" w:cs="Calibri"/>
                <w:b/>
                <w:bCs/>
                <w:color w:val="FFFFFF"/>
                <w:sz w:val="18"/>
                <w:szCs w:val="18"/>
              </w:rPr>
              <w:t>100,0</w:t>
            </w:r>
          </w:p>
        </w:tc>
        <w:tc>
          <w:tcPr>
            <w:tcW w:w="766" w:type="dxa"/>
            <w:tcBorders>
              <w:top w:val="nil"/>
              <w:left w:val="nil"/>
              <w:bottom w:val="single" w:sz="4" w:space="0" w:color="auto"/>
              <w:right w:val="nil"/>
            </w:tcBorders>
            <w:shd w:val="clear" w:color="000000" w:fill="A71433"/>
            <w:vAlign w:val="center"/>
            <w:hideMark/>
          </w:tcPr>
          <w:p w14:paraId="6C99FB00" w14:textId="77777777" w:rsidR="005833DF" w:rsidRDefault="005833DF">
            <w:pPr>
              <w:jc w:val="right"/>
              <w:rPr>
                <w:rFonts w:ascii="Arial Narrow" w:hAnsi="Arial Narrow" w:cs="Calibri"/>
                <w:b/>
                <w:bCs/>
                <w:color w:val="FFFFFF"/>
                <w:sz w:val="18"/>
                <w:szCs w:val="18"/>
              </w:rPr>
            </w:pPr>
            <w:r>
              <w:rPr>
                <w:rFonts w:ascii="Arial Narrow" w:hAnsi="Arial Narrow" w:cs="Calibri"/>
                <w:b/>
                <w:bCs/>
                <w:color w:val="FFFFFF"/>
                <w:sz w:val="18"/>
                <w:szCs w:val="18"/>
              </w:rPr>
              <w:t>918</w:t>
            </w:r>
          </w:p>
        </w:tc>
        <w:tc>
          <w:tcPr>
            <w:tcW w:w="766" w:type="dxa"/>
            <w:tcBorders>
              <w:top w:val="nil"/>
              <w:left w:val="nil"/>
              <w:bottom w:val="single" w:sz="4" w:space="0" w:color="auto"/>
              <w:right w:val="nil"/>
            </w:tcBorders>
            <w:shd w:val="clear" w:color="000000" w:fill="A71433"/>
            <w:vAlign w:val="center"/>
            <w:hideMark/>
          </w:tcPr>
          <w:p w14:paraId="6A3F1E0B" w14:textId="77777777" w:rsidR="005833DF" w:rsidRDefault="005833DF">
            <w:pPr>
              <w:jc w:val="right"/>
              <w:rPr>
                <w:rFonts w:ascii="Arial Narrow" w:hAnsi="Arial Narrow" w:cs="Calibri"/>
                <w:b/>
                <w:bCs/>
                <w:color w:val="FFFFFF"/>
                <w:sz w:val="18"/>
                <w:szCs w:val="18"/>
              </w:rPr>
            </w:pPr>
            <w:r>
              <w:rPr>
                <w:rFonts w:ascii="Arial Narrow" w:hAnsi="Arial Narrow" w:cs="Calibri"/>
                <w:b/>
                <w:bCs/>
                <w:color w:val="FFFFFF"/>
                <w:sz w:val="18"/>
                <w:szCs w:val="18"/>
              </w:rPr>
              <w:t>100,0</w:t>
            </w:r>
          </w:p>
        </w:tc>
        <w:tc>
          <w:tcPr>
            <w:tcW w:w="766" w:type="dxa"/>
            <w:tcBorders>
              <w:top w:val="nil"/>
              <w:left w:val="nil"/>
              <w:bottom w:val="single" w:sz="4" w:space="0" w:color="auto"/>
              <w:right w:val="nil"/>
            </w:tcBorders>
            <w:shd w:val="clear" w:color="000000" w:fill="A71433"/>
            <w:vAlign w:val="center"/>
            <w:hideMark/>
          </w:tcPr>
          <w:p w14:paraId="12706D55" w14:textId="77777777" w:rsidR="005833DF" w:rsidRDefault="005833DF">
            <w:pPr>
              <w:jc w:val="right"/>
              <w:rPr>
                <w:rFonts w:ascii="Arial Narrow" w:hAnsi="Arial Narrow" w:cs="Calibri"/>
                <w:b/>
                <w:bCs/>
                <w:color w:val="FFFFFF"/>
                <w:sz w:val="18"/>
                <w:szCs w:val="18"/>
              </w:rPr>
            </w:pPr>
            <w:r>
              <w:rPr>
                <w:rFonts w:ascii="Arial Narrow" w:hAnsi="Arial Narrow" w:cs="Calibri"/>
                <w:b/>
                <w:bCs/>
                <w:color w:val="FFFFFF"/>
                <w:sz w:val="18"/>
                <w:szCs w:val="18"/>
              </w:rPr>
              <w:t>36</w:t>
            </w:r>
          </w:p>
        </w:tc>
        <w:tc>
          <w:tcPr>
            <w:tcW w:w="766" w:type="dxa"/>
            <w:tcBorders>
              <w:top w:val="nil"/>
              <w:left w:val="nil"/>
              <w:bottom w:val="single" w:sz="4" w:space="0" w:color="auto"/>
              <w:right w:val="nil"/>
            </w:tcBorders>
            <w:shd w:val="clear" w:color="000000" w:fill="A71433"/>
            <w:vAlign w:val="center"/>
            <w:hideMark/>
          </w:tcPr>
          <w:p w14:paraId="7E1F077A" w14:textId="77777777" w:rsidR="005833DF" w:rsidRDefault="005833DF">
            <w:pPr>
              <w:jc w:val="right"/>
              <w:rPr>
                <w:rFonts w:ascii="Arial Narrow" w:hAnsi="Arial Narrow" w:cs="Calibri"/>
                <w:b/>
                <w:bCs/>
                <w:color w:val="FFFFFF"/>
                <w:sz w:val="18"/>
                <w:szCs w:val="18"/>
              </w:rPr>
            </w:pPr>
            <w:r>
              <w:rPr>
                <w:rFonts w:ascii="Arial Narrow" w:hAnsi="Arial Narrow" w:cs="Calibri"/>
                <w:b/>
                <w:bCs/>
                <w:color w:val="FFFFFF"/>
                <w:sz w:val="18"/>
                <w:szCs w:val="18"/>
              </w:rPr>
              <w:t>100,0</w:t>
            </w:r>
          </w:p>
        </w:tc>
        <w:tc>
          <w:tcPr>
            <w:tcW w:w="766" w:type="dxa"/>
            <w:tcBorders>
              <w:top w:val="nil"/>
              <w:left w:val="nil"/>
              <w:bottom w:val="single" w:sz="4" w:space="0" w:color="auto"/>
              <w:right w:val="nil"/>
            </w:tcBorders>
            <w:shd w:val="clear" w:color="000000" w:fill="A71433"/>
            <w:vAlign w:val="center"/>
            <w:hideMark/>
          </w:tcPr>
          <w:p w14:paraId="076EDCF8" w14:textId="77777777" w:rsidR="005833DF" w:rsidRDefault="005833DF">
            <w:pPr>
              <w:jc w:val="right"/>
              <w:rPr>
                <w:rFonts w:ascii="Arial Narrow" w:hAnsi="Arial Narrow" w:cs="Calibri"/>
                <w:b/>
                <w:bCs/>
                <w:color w:val="FFFFFF"/>
                <w:sz w:val="18"/>
                <w:szCs w:val="18"/>
              </w:rPr>
            </w:pPr>
            <w:r>
              <w:rPr>
                <w:rFonts w:ascii="Arial Narrow" w:hAnsi="Arial Narrow" w:cs="Calibri"/>
                <w:b/>
                <w:bCs/>
                <w:color w:val="FFFFFF"/>
                <w:sz w:val="18"/>
                <w:szCs w:val="18"/>
              </w:rPr>
              <w:t>1.333</w:t>
            </w:r>
          </w:p>
        </w:tc>
        <w:tc>
          <w:tcPr>
            <w:tcW w:w="766" w:type="dxa"/>
            <w:tcBorders>
              <w:top w:val="nil"/>
              <w:left w:val="nil"/>
              <w:bottom w:val="single" w:sz="4" w:space="0" w:color="auto"/>
              <w:right w:val="nil"/>
            </w:tcBorders>
            <w:shd w:val="clear" w:color="000000" w:fill="A71433"/>
            <w:vAlign w:val="center"/>
            <w:hideMark/>
          </w:tcPr>
          <w:p w14:paraId="431FBD22" w14:textId="77777777" w:rsidR="005833DF" w:rsidRDefault="005833DF">
            <w:pPr>
              <w:jc w:val="right"/>
              <w:rPr>
                <w:rFonts w:ascii="Arial Narrow" w:hAnsi="Arial Narrow" w:cs="Calibri"/>
                <w:b/>
                <w:bCs/>
                <w:color w:val="FFFFFF"/>
                <w:sz w:val="18"/>
                <w:szCs w:val="18"/>
              </w:rPr>
            </w:pPr>
            <w:r>
              <w:rPr>
                <w:rFonts w:ascii="Arial Narrow" w:hAnsi="Arial Narrow" w:cs="Calibri"/>
                <w:b/>
                <w:bCs/>
                <w:color w:val="FFFFFF"/>
                <w:sz w:val="18"/>
                <w:szCs w:val="18"/>
              </w:rPr>
              <w:t>100,0</w:t>
            </w:r>
          </w:p>
        </w:tc>
        <w:tc>
          <w:tcPr>
            <w:tcW w:w="766" w:type="dxa"/>
            <w:tcBorders>
              <w:top w:val="nil"/>
              <w:left w:val="nil"/>
              <w:bottom w:val="single" w:sz="4" w:space="0" w:color="auto"/>
              <w:right w:val="nil"/>
            </w:tcBorders>
            <w:shd w:val="clear" w:color="000000" w:fill="A71433"/>
            <w:vAlign w:val="center"/>
            <w:hideMark/>
          </w:tcPr>
          <w:p w14:paraId="33A78D2E" w14:textId="77777777" w:rsidR="005833DF" w:rsidRDefault="005833DF">
            <w:pPr>
              <w:jc w:val="right"/>
              <w:rPr>
                <w:rFonts w:ascii="Arial Narrow" w:hAnsi="Arial Narrow" w:cs="Calibri"/>
                <w:b/>
                <w:bCs/>
                <w:color w:val="FFFFFF"/>
                <w:sz w:val="18"/>
                <w:szCs w:val="18"/>
              </w:rPr>
            </w:pPr>
            <w:r>
              <w:rPr>
                <w:rFonts w:ascii="Arial Narrow" w:hAnsi="Arial Narrow" w:cs="Calibri"/>
                <w:b/>
                <w:bCs/>
                <w:color w:val="FFFFFF"/>
                <w:sz w:val="18"/>
                <w:szCs w:val="18"/>
              </w:rPr>
              <w:t xml:space="preserve">241 </w:t>
            </w:r>
          </w:p>
        </w:tc>
        <w:tc>
          <w:tcPr>
            <w:tcW w:w="766" w:type="dxa"/>
            <w:tcBorders>
              <w:top w:val="nil"/>
              <w:left w:val="nil"/>
              <w:bottom w:val="single" w:sz="4" w:space="0" w:color="auto"/>
              <w:right w:val="nil"/>
            </w:tcBorders>
            <w:shd w:val="clear" w:color="000000" w:fill="A71433"/>
            <w:vAlign w:val="center"/>
            <w:hideMark/>
          </w:tcPr>
          <w:p w14:paraId="3DDFF0A8" w14:textId="77777777" w:rsidR="005833DF" w:rsidRDefault="005833DF">
            <w:pPr>
              <w:jc w:val="right"/>
              <w:rPr>
                <w:rFonts w:ascii="Arial Narrow" w:hAnsi="Arial Narrow" w:cs="Calibri"/>
                <w:b/>
                <w:bCs/>
                <w:color w:val="FFFFFF"/>
                <w:sz w:val="18"/>
                <w:szCs w:val="18"/>
              </w:rPr>
            </w:pPr>
            <w:r>
              <w:rPr>
                <w:rFonts w:ascii="Arial Narrow" w:hAnsi="Arial Narrow" w:cs="Calibri"/>
                <w:b/>
                <w:bCs/>
                <w:color w:val="FFFFFF"/>
                <w:sz w:val="18"/>
                <w:szCs w:val="18"/>
              </w:rPr>
              <w:t xml:space="preserve">18 </w:t>
            </w:r>
          </w:p>
        </w:tc>
        <w:tc>
          <w:tcPr>
            <w:tcW w:w="766" w:type="dxa"/>
            <w:tcBorders>
              <w:top w:val="nil"/>
              <w:left w:val="nil"/>
              <w:bottom w:val="single" w:sz="4" w:space="0" w:color="auto"/>
              <w:right w:val="nil"/>
            </w:tcBorders>
            <w:shd w:val="clear" w:color="000000" w:fill="A71433"/>
            <w:vAlign w:val="center"/>
            <w:hideMark/>
          </w:tcPr>
          <w:p w14:paraId="532039CB" w14:textId="77777777" w:rsidR="005833DF" w:rsidRDefault="005833DF">
            <w:pPr>
              <w:jc w:val="right"/>
              <w:rPr>
                <w:rFonts w:ascii="Arial Narrow" w:hAnsi="Arial Narrow" w:cs="Calibri"/>
                <w:b/>
                <w:bCs/>
                <w:color w:val="FFFFFF"/>
                <w:sz w:val="18"/>
                <w:szCs w:val="18"/>
              </w:rPr>
            </w:pPr>
            <w:r>
              <w:rPr>
                <w:rFonts w:ascii="Arial Narrow" w:hAnsi="Arial Narrow" w:cs="Calibri"/>
                <w:b/>
                <w:bCs/>
                <w:color w:val="FFFFFF"/>
                <w:sz w:val="18"/>
                <w:szCs w:val="18"/>
              </w:rPr>
              <w:t xml:space="preserve">277 </w:t>
            </w:r>
          </w:p>
        </w:tc>
      </w:tr>
    </w:tbl>
    <w:p w14:paraId="3487C5D5" w14:textId="77777777" w:rsidR="00D3144D" w:rsidRDefault="00D3144D" w:rsidP="00985D39">
      <w:pPr>
        <w:pStyle w:val="Paragrafoelenco"/>
        <w:widowControl w:val="0"/>
        <w:suppressAutoHyphens/>
        <w:spacing w:after="120" w:line="240" w:lineRule="auto"/>
        <w:ind w:left="0"/>
        <w:jc w:val="both"/>
        <w:rPr>
          <w:rFonts w:ascii="Arial" w:hAnsi="Arial" w:cs="Arial"/>
          <w:bCs/>
          <w:color w:val="000000" w:themeColor="text1"/>
          <w:sz w:val="20"/>
          <w:szCs w:val="20"/>
        </w:rPr>
      </w:pPr>
    </w:p>
    <w:p w14:paraId="24BB752B" w14:textId="0D37566F" w:rsidR="00716572" w:rsidRDefault="00140E3B" w:rsidP="00716572">
      <w:pPr>
        <w:pStyle w:val="Testonormale"/>
        <w:spacing w:after="120"/>
        <w:jc w:val="both"/>
        <w:rPr>
          <w:rFonts w:ascii="Arial" w:hAnsi="Arial" w:cs="Arial"/>
          <w:bCs/>
          <w:color w:val="000000" w:themeColor="text1"/>
        </w:rPr>
      </w:pPr>
      <w:r>
        <w:rPr>
          <w:rFonts w:ascii="Arial" w:hAnsi="Arial" w:cs="Arial"/>
          <w:bCs/>
          <w:color w:val="000000" w:themeColor="text1"/>
        </w:rPr>
        <w:t>Anche g</w:t>
      </w:r>
      <w:r w:rsidR="006D7AC1" w:rsidRPr="00665457">
        <w:rPr>
          <w:rFonts w:ascii="Arial" w:hAnsi="Arial" w:cs="Arial"/>
          <w:bCs/>
          <w:color w:val="000000" w:themeColor="text1"/>
        </w:rPr>
        <w:t>li indicatori statistici di mortalità e gravità evidenziano una situazione critica nelle Aree interne, dove</w:t>
      </w:r>
      <w:r w:rsidR="006D7AC1">
        <w:rPr>
          <w:rFonts w:ascii="Arial" w:hAnsi="Arial" w:cs="Arial"/>
          <w:bCs/>
          <w:color w:val="000000" w:themeColor="text1"/>
        </w:rPr>
        <w:t xml:space="preserve"> nel 202</w:t>
      </w:r>
      <w:r w:rsidR="00A40B62">
        <w:rPr>
          <w:rFonts w:ascii="Arial" w:hAnsi="Arial" w:cs="Arial"/>
          <w:bCs/>
          <w:color w:val="000000" w:themeColor="text1"/>
        </w:rPr>
        <w:t>1</w:t>
      </w:r>
      <w:r w:rsidR="006D7AC1" w:rsidRPr="00665457">
        <w:rPr>
          <w:rFonts w:ascii="Arial" w:hAnsi="Arial" w:cs="Arial"/>
          <w:bCs/>
          <w:color w:val="000000" w:themeColor="text1"/>
        </w:rPr>
        <w:t xml:space="preserve"> si registrano valori (rispettivamente </w:t>
      </w:r>
      <w:r w:rsidR="006D7AC1">
        <w:rPr>
          <w:rFonts w:ascii="Arial" w:hAnsi="Arial" w:cs="Arial"/>
          <w:bCs/>
          <w:color w:val="000000" w:themeColor="text1"/>
        </w:rPr>
        <w:t>4,</w:t>
      </w:r>
      <w:r w:rsidR="00A40B62">
        <w:rPr>
          <w:rFonts w:ascii="Arial" w:hAnsi="Arial" w:cs="Arial"/>
          <w:bCs/>
          <w:color w:val="000000" w:themeColor="text1"/>
        </w:rPr>
        <w:t>2</w:t>
      </w:r>
      <w:r w:rsidR="006D7AC1" w:rsidRPr="00665457">
        <w:rPr>
          <w:rFonts w:ascii="Arial" w:hAnsi="Arial" w:cs="Arial"/>
          <w:bCs/>
          <w:color w:val="000000" w:themeColor="text1"/>
        </w:rPr>
        <w:t xml:space="preserve"> e </w:t>
      </w:r>
      <w:r w:rsidR="006D7AC1">
        <w:rPr>
          <w:rFonts w:ascii="Arial" w:hAnsi="Arial" w:cs="Arial"/>
          <w:bCs/>
          <w:color w:val="000000" w:themeColor="text1"/>
        </w:rPr>
        <w:t>2,</w:t>
      </w:r>
      <w:r w:rsidR="00A40B62">
        <w:rPr>
          <w:rFonts w:ascii="Arial" w:hAnsi="Arial" w:cs="Arial"/>
          <w:bCs/>
          <w:color w:val="000000" w:themeColor="text1"/>
        </w:rPr>
        <w:t>8</w:t>
      </w:r>
      <w:r w:rsidR="006D7AC1" w:rsidRPr="00665457">
        <w:rPr>
          <w:rFonts w:ascii="Arial" w:hAnsi="Arial" w:cs="Arial"/>
          <w:bCs/>
          <w:color w:val="000000" w:themeColor="text1"/>
        </w:rPr>
        <w:t>) superiori alla media regionale (</w:t>
      </w:r>
      <w:r w:rsidR="00A40B62">
        <w:rPr>
          <w:rFonts w:ascii="Arial" w:hAnsi="Arial" w:cs="Arial"/>
          <w:bCs/>
          <w:color w:val="000000" w:themeColor="text1"/>
        </w:rPr>
        <w:t>3,9</w:t>
      </w:r>
      <w:r w:rsidR="006D7AC1" w:rsidRPr="00665457">
        <w:rPr>
          <w:rFonts w:ascii="Arial" w:hAnsi="Arial" w:cs="Arial"/>
          <w:bCs/>
          <w:color w:val="000000" w:themeColor="text1"/>
        </w:rPr>
        <w:t xml:space="preserve"> e </w:t>
      </w:r>
      <w:r w:rsidR="00A40B62">
        <w:rPr>
          <w:rFonts w:ascii="Arial" w:hAnsi="Arial" w:cs="Arial"/>
          <w:bCs/>
          <w:color w:val="000000" w:themeColor="text1"/>
        </w:rPr>
        <w:t>2,6</w:t>
      </w:r>
      <w:r w:rsidR="006D7AC1" w:rsidRPr="00665457">
        <w:rPr>
          <w:rFonts w:ascii="Arial" w:hAnsi="Arial" w:cs="Arial"/>
          <w:bCs/>
          <w:color w:val="000000" w:themeColor="text1"/>
        </w:rPr>
        <w:t xml:space="preserve">). Gli indici di mortalità e gravità raggiungono i livelli più elevati nei comuni </w:t>
      </w:r>
      <w:r w:rsidR="00A40B62">
        <w:rPr>
          <w:rFonts w:ascii="Arial" w:hAnsi="Arial" w:cs="Arial"/>
          <w:bCs/>
          <w:color w:val="000000" w:themeColor="text1"/>
        </w:rPr>
        <w:t>Periferici</w:t>
      </w:r>
      <w:r w:rsidR="006D7AC1" w:rsidRPr="00665457">
        <w:rPr>
          <w:rFonts w:ascii="Arial" w:hAnsi="Arial" w:cs="Arial"/>
          <w:bCs/>
          <w:color w:val="000000" w:themeColor="text1"/>
        </w:rPr>
        <w:t xml:space="preserve"> (rispettivamente </w:t>
      </w:r>
      <w:r w:rsidR="00A40B62">
        <w:rPr>
          <w:rFonts w:ascii="Arial" w:hAnsi="Arial" w:cs="Arial"/>
          <w:bCs/>
          <w:color w:val="000000" w:themeColor="text1"/>
        </w:rPr>
        <w:t>5,4</w:t>
      </w:r>
      <w:r w:rsidR="006661D4">
        <w:rPr>
          <w:rFonts w:ascii="Arial" w:hAnsi="Arial" w:cs="Arial"/>
          <w:bCs/>
          <w:color w:val="000000" w:themeColor="text1"/>
        </w:rPr>
        <w:t xml:space="preserve"> </w:t>
      </w:r>
      <w:r w:rsidR="006D7AC1" w:rsidRPr="00665457">
        <w:rPr>
          <w:rFonts w:ascii="Arial" w:hAnsi="Arial" w:cs="Arial"/>
          <w:bCs/>
          <w:color w:val="000000" w:themeColor="text1"/>
        </w:rPr>
        <w:t xml:space="preserve">e </w:t>
      </w:r>
      <w:r w:rsidR="00A40B62">
        <w:rPr>
          <w:rFonts w:ascii="Arial" w:hAnsi="Arial" w:cs="Arial"/>
          <w:bCs/>
          <w:color w:val="000000" w:themeColor="text1"/>
        </w:rPr>
        <w:t>3,4</w:t>
      </w:r>
      <w:r w:rsidR="006D7AC1" w:rsidRPr="00665457">
        <w:rPr>
          <w:rFonts w:ascii="Arial" w:hAnsi="Arial" w:cs="Arial"/>
          <w:bCs/>
          <w:color w:val="000000" w:themeColor="text1"/>
        </w:rPr>
        <w:t>)</w:t>
      </w:r>
      <w:r w:rsidR="00BB3D84">
        <w:rPr>
          <w:rFonts w:ascii="Arial" w:hAnsi="Arial" w:cs="Arial"/>
          <w:bCs/>
          <w:color w:val="000000" w:themeColor="text1"/>
        </w:rPr>
        <w:t xml:space="preserve"> e nelle Aree di cintura</w:t>
      </w:r>
      <w:r w:rsidR="00F54AC8">
        <w:rPr>
          <w:rFonts w:ascii="Arial" w:hAnsi="Arial" w:cs="Arial"/>
          <w:bCs/>
          <w:color w:val="000000" w:themeColor="text1"/>
        </w:rPr>
        <w:t>,</w:t>
      </w:r>
      <w:r w:rsidR="006661D4">
        <w:rPr>
          <w:rFonts w:ascii="Arial" w:hAnsi="Arial" w:cs="Arial"/>
          <w:bCs/>
          <w:color w:val="000000" w:themeColor="text1"/>
        </w:rPr>
        <w:t xml:space="preserve"> </w:t>
      </w:r>
      <w:r>
        <w:rPr>
          <w:rFonts w:ascii="Arial" w:hAnsi="Arial" w:cs="Arial"/>
          <w:bCs/>
          <w:color w:val="000000" w:themeColor="text1"/>
        </w:rPr>
        <w:t>con</w:t>
      </w:r>
      <w:r w:rsidR="006661D4">
        <w:rPr>
          <w:rFonts w:ascii="Arial" w:hAnsi="Arial" w:cs="Arial"/>
          <w:bCs/>
          <w:color w:val="000000" w:themeColor="text1"/>
        </w:rPr>
        <w:t xml:space="preserve"> </w:t>
      </w:r>
      <w:r w:rsidR="00BB3D84">
        <w:rPr>
          <w:rFonts w:ascii="Arial" w:hAnsi="Arial" w:cs="Arial"/>
          <w:bCs/>
          <w:color w:val="000000" w:themeColor="text1"/>
        </w:rPr>
        <w:t xml:space="preserve">7.3 </w:t>
      </w:r>
      <w:r w:rsidR="006413BF">
        <w:rPr>
          <w:rFonts w:ascii="Arial" w:hAnsi="Arial" w:cs="Arial"/>
          <w:bCs/>
          <w:color w:val="000000" w:themeColor="text1"/>
        </w:rPr>
        <w:t>decessi ogni 100 incidenti</w:t>
      </w:r>
      <w:r w:rsidR="006413BF" w:rsidRPr="00665457">
        <w:rPr>
          <w:rFonts w:ascii="Arial" w:hAnsi="Arial" w:cs="Arial"/>
          <w:bCs/>
          <w:color w:val="000000" w:themeColor="text1"/>
        </w:rPr>
        <w:t xml:space="preserve"> </w:t>
      </w:r>
      <w:r w:rsidR="00BB3D84">
        <w:rPr>
          <w:rFonts w:ascii="Arial" w:hAnsi="Arial" w:cs="Arial"/>
          <w:bCs/>
          <w:color w:val="000000" w:themeColor="text1"/>
        </w:rPr>
        <w:t>e 4,7</w:t>
      </w:r>
      <w:r w:rsidR="006413BF" w:rsidRPr="006413BF">
        <w:rPr>
          <w:rFonts w:ascii="Arial" w:hAnsi="Arial" w:cs="Arial"/>
          <w:bCs/>
          <w:color w:val="000000" w:themeColor="text1"/>
        </w:rPr>
        <w:t xml:space="preserve"> </w:t>
      </w:r>
      <w:r w:rsidR="006413BF">
        <w:rPr>
          <w:rFonts w:ascii="Arial" w:hAnsi="Arial" w:cs="Arial"/>
          <w:bCs/>
          <w:color w:val="000000" w:themeColor="text1"/>
        </w:rPr>
        <w:t>morti ogni 100 morti e feriti</w:t>
      </w:r>
      <w:r w:rsidR="00B237FB">
        <w:rPr>
          <w:rFonts w:ascii="Arial" w:hAnsi="Arial" w:cs="Arial"/>
          <w:bCs/>
          <w:color w:val="000000" w:themeColor="text1"/>
        </w:rPr>
        <w:t>.</w:t>
      </w:r>
    </w:p>
    <w:p w14:paraId="1AA993E5" w14:textId="77777777" w:rsidR="00EB4E96" w:rsidRDefault="00EB4E96">
      <w:pPr>
        <w:rPr>
          <w:rFonts w:ascii="Arial" w:hAnsi="Arial" w:cs="Arial"/>
          <w:bCs/>
          <w:color w:val="000000" w:themeColor="text1"/>
          <w:sz w:val="20"/>
          <w:szCs w:val="20"/>
        </w:rPr>
      </w:pPr>
      <w:r>
        <w:rPr>
          <w:rFonts w:ascii="Arial" w:hAnsi="Arial" w:cs="Arial"/>
          <w:bCs/>
          <w:color w:val="000000" w:themeColor="text1"/>
          <w:sz w:val="20"/>
          <w:szCs w:val="20"/>
        </w:rPr>
        <w:br w:type="page"/>
      </w:r>
    </w:p>
    <w:p w14:paraId="245003BD" w14:textId="77777777" w:rsidR="00EB4E96" w:rsidRDefault="00EB4E96" w:rsidP="00EB4E96">
      <w:pPr>
        <w:spacing w:before="240"/>
        <w:rPr>
          <w:rFonts w:ascii="Arial" w:hAnsi="Arial" w:cs="Arial"/>
          <w:b/>
          <w:sz w:val="22"/>
          <w:szCs w:val="22"/>
        </w:rPr>
      </w:pPr>
    </w:p>
    <w:p w14:paraId="5FFF7D86" w14:textId="3424BB14" w:rsidR="00EB4E96" w:rsidRDefault="00F039FC" w:rsidP="008F317B">
      <w:pPr>
        <w:spacing w:before="100" w:beforeAutospacing="1" w:after="120"/>
        <w:rPr>
          <w:rFonts w:ascii="Arial" w:hAnsi="Arial" w:cs="Arial"/>
          <w:b/>
          <w:sz w:val="22"/>
          <w:szCs w:val="22"/>
        </w:rPr>
      </w:pPr>
      <w:r w:rsidRPr="00FD1523">
        <w:rPr>
          <w:rFonts w:ascii="Arial" w:hAnsi="Arial" w:cs="Arial"/>
          <w:b/>
          <w:sz w:val="22"/>
          <w:szCs w:val="22"/>
        </w:rPr>
        <w:t>I comportamenti a rischio</w:t>
      </w:r>
      <w:r w:rsidR="00B11515" w:rsidRPr="00FD1523">
        <w:rPr>
          <w:rFonts w:ascii="Arial" w:hAnsi="Arial" w:cs="Arial"/>
          <w:b/>
          <w:sz w:val="22"/>
          <w:szCs w:val="22"/>
        </w:rPr>
        <w:t xml:space="preserve"> e le persone coinvolte</w:t>
      </w:r>
    </w:p>
    <w:p w14:paraId="4D3F6B6F" w14:textId="39F06F3F" w:rsidR="00935FDE" w:rsidRPr="00716572" w:rsidRDefault="00935FDE" w:rsidP="008F317B">
      <w:pPr>
        <w:pStyle w:val="Testonormale"/>
        <w:spacing w:before="100" w:beforeAutospacing="1" w:after="120"/>
        <w:jc w:val="both"/>
        <w:rPr>
          <w:rFonts w:ascii="Arial" w:hAnsi="Arial" w:cs="Arial"/>
          <w:bCs/>
          <w:color w:val="000000" w:themeColor="text1"/>
        </w:rPr>
      </w:pPr>
      <w:r w:rsidRPr="00CF7676">
        <w:rPr>
          <w:rFonts w:ascii="Arial" w:hAnsi="Arial" w:cs="Arial"/>
        </w:rPr>
        <w:t>La maggior parte degli incidenti stradali avviene tra due o più veicoli (</w:t>
      </w:r>
      <w:r w:rsidR="0012766E">
        <w:rPr>
          <w:rFonts w:ascii="Arial" w:hAnsi="Arial" w:cs="Arial"/>
        </w:rPr>
        <w:t>5</w:t>
      </w:r>
      <w:r w:rsidR="004816A6">
        <w:rPr>
          <w:rFonts w:ascii="Arial" w:hAnsi="Arial" w:cs="Arial"/>
        </w:rPr>
        <w:t>6</w:t>
      </w:r>
      <w:r w:rsidR="0012766E">
        <w:rPr>
          <w:rFonts w:ascii="Arial" w:hAnsi="Arial" w:cs="Arial"/>
        </w:rPr>
        <w:t>,2</w:t>
      </w:r>
      <w:r w:rsidR="00901611" w:rsidRPr="00CF7676">
        <w:rPr>
          <w:rFonts w:ascii="Arial" w:hAnsi="Arial" w:cs="Arial"/>
        </w:rPr>
        <w:t>%</w:t>
      </w:r>
      <w:r w:rsidRPr="00CF7676">
        <w:rPr>
          <w:rFonts w:ascii="Arial" w:hAnsi="Arial" w:cs="Arial"/>
        </w:rPr>
        <w:t>)</w:t>
      </w:r>
      <w:r w:rsidR="004B3CED" w:rsidRPr="00CF7676">
        <w:rPr>
          <w:rFonts w:ascii="Arial" w:hAnsi="Arial" w:cs="Arial"/>
        </w:rPr>
        <w:t>;</w:t>
      </w:r>
      <w:r w:rsidRPr="00CF7676">
        <w:rPr>
          <w:rFonts w:ascii="Arial" w:hAnsi="Arial" w:cs="Arial"/>
        </w:rPr>
        <w:t xml:space="preserve"> la tipologia di incidente più diffusa è lo scontro frontale-laterale (</w:t>
      </w:r>
      <w:r w:rsidR="004816A6">
        <w:rPr>
          <w:rFonts w:ascii="Arial" w:hAnsi="Arial" w:cs="Arial"/>
        </w:rPr>
        <w:t>240</w:t>
      </w:r>
      <w:r w:rsidR="00492A34" w:rsidRPr="00CF7676">
        <w:rPr>
          <w:rFonts w:ascii="Arial" w:hAnsi="Arial" w:cs="Arial"/>
        </w:rPr>
        <w:t xml:space="preserve"> </w:t>
      </w:r>
      <w:r w:rsidRPr="00CF7676">
        <w:rPr>
          <w:rFonts w:ascii="Arial" w:hAnsi="Arial" w:cs="Arial"/>
        </w:rPr>
        <w:t>casi</w:t>
      </w:r>
      <w:r w:rsidR="007566A6" w:rsidRPr="00CF7676">
        <w:rPr>
          <w:rFonts w:ascii="Arial" w:hAnsi="Arial" w:cs="Arial"/>
        </w:rPr>
        <w:t>,</w:t>
      </w:r>
      <w:r w:rsidRPr="00CF7676">
        <w:rPr>
          <w:rFonts w:ascii="Arial" w:hAnsi="Arial" w:cs="Arial"/>
        </w:rPr>
        <w:t xml:space="preserve"> </w:t>
      </w:r>
      <w:r w:rsidR="004816A6">
        <w:rPr>
          <w:rFonts w:ascii="Arial" w:hAnsi="Arial" w:cs="Arial"/>
        </w:rPr>
        <w:t>7</w:t>
      </w:r>
      <w:r w:rsidR="0062176A" w:rsidRPr="00CF7676">
        <w:rPr>
          <w:rFonts w:ascii="Arial" w:hAnsi="Arial" w:cs="Arial"/>
        </w:rPr>
        <w:t xml:space="preserve"> </w:t>
      </w:r>
      <w:r w:rsidR="007566A6" w:rsidRPr="00CF7676">
        <w:rPr>
          <w:rFonts w:ascii="Arial" w:hAnsi="Arial" w:cs="Arial"/>
        </w:rPr>
        <w:t xml:space="preserve">vittime </w:t>
      </w:r>
      <w:r w:rsidRPr="00CF7676">
        <w:rPr>
          <w:rFonts w:ascii="Arial" w:hAnsi="Arial" w:cs="Arial"/>
        </w:rPr>
        <w:t xml:space="preserve">e </w:t>
      </w:r>
      <w:r w:rsidR="004816A6">
        <w:rPr>
          <w:rFonts w:ascii="Arial" w:hAnsi="Arial" w:cs="Arial"/>
        </w:rPr>
        <w:t>406</w:t>
      </w:r>
      <w:r w:rsidR="0062176A" w:rsidRPr="00CF7676">
        <w:rPr>
          <w:rFonts w:ascii="Arial" w:hAnsi="Arial" w:cs="Arial"/>
        </w:rPr>
        <w:t xml:space="preserve"> </w:t>
      </w:r>
      <w:r w:rsidRPr="00CF7676">
        <w:rPr>
          <w:rFonts w:ascii="Arial" w:hAnsi="Arial" w:cs="Arial"/>
        </w:rPr>
        <w:t xml:space="preserve">feriti), seguita </w:t>
      </w:r>
      <w:r w:rsidR="0021160D" w:rsidRPr="00CF7676">
        <w:rPr>
          <w:rFonts w:ascii="Arial" w:hAnsi="Arial" w:cs="Arial"/>
        </w:rPr>
        <w:t xml:space="preserve">dal </w:t>
      </w:r>
      <w:r w:rsidRPr="00CF7676">
        <w:rPr>
          <w:rFonts w:ascii="Arial" w:hAnsi="Arial" w:cs="Arial"/>
        </w:rPr>
        <w:t>tamponamento</w:t>
      </w:r>
      <w:r w:rsidR="007566A6" w:rsidRPr="00CF7676">
        <w:rPr>
          <w:rFonts w:ascii="Arial" w:hAnsi="Arial" w:cs="Arial"/>
        </w:rPr>
        <w:t xml:space="preserve"> (</w:t>
      </w:r>
      <w:r w:rsidR="004816A6">
        <w:rPr>
          <w:rFonts w:ascii="Arial" w:hAnsi="Arial" w:cs="Arial"/>
        </w:rPr>
        <w:t>121</w:t>
      </w:r>
      <w:r w:rsidR="00F67D50" w:rsidRPr="00CF7676">
        <w:rPr>
          <w:rFonts w:ascii="Arial" w:hAnsi="Arial" w:cs="Arial"/>
        </w:rPr>
        <w:t xml:space="preserve"> </w:t>
      </w:r>
      <w:r w:rsidRPr="00CF7676">
        <w:rPr>
          <w:rFonts w:ascii="Arial" w:hAnsi="Arial" w:cs="Arial"/>
        </w:rPr>
        <w:t>casi</w:t>
      </w:r>
      <w:r w:rsidR="007566A6" w:rsidRPr="00CF7676">
        <w:rPr>
          <w:rFonts w:ascii="Arial" w:hAnsi="Arial" w:cs="Arial"/>
        </w:rPr>
        <w:t>,</w:t>
      </w:r>
      <w:r w:rsidRPr="00CF7676">
        <w:rPr>
          <w:rFonts w:ascii="Arial" w:hAnsi="Arial" w:cs="Arial"/>
        </w:rPr>
        <w:t xml:space="preserve"> </w:t>
      </w:r>
      <w:r w:rsidR="004816A6">
        <w:rPr>
          <w:rFonts w:ascii="Arial" w:hAnsi="Arial" w:cs="Arial"/>
        </w:rPr>
        <w:t xml:space="preserve">1 vittima e </w:t>
      </w:r>
      <w:r w:rsidR="00941D80">
        <w:rPr>
          <w:rFonts w:ascii="Arial" w:hAnsi="Arial" w:cs="Arial"/>
        </w:rPr>
        <w:t xml:space="preserve">194 </w:t>
      </w:r>
      <w:r w:rsidRPr="00CF7676">
        <w:rPr>
          <w:rFonts w:ascii="Arial" w:hAnsi="Arial" w:cs="Arial"/>
        </w:rPr>
        <w:t>persone ferite</w:t>
      </w:r>
      <w:r w:rsidR="007566A6" w:rsidRPr="00CF7676">
        <w:rPr>
          <w:rFonts w:ascii="Arial" w:hAnsi="Arial" w:cs="Arial"/>
        </w:rPr>
        <w:t>)</w:t>
      </w:r>
      <w:r w:rsidR="00D62A33" w:rsidRPr="00CF7676">
        <w:rPr>
          <w:rFonts w:ascii="Arial" w:hAnsi="Arial" w:cs="Arial"/>
        </w:rPr>
        <w:t>. L</w:t>
      </w:r>
      <w:r w:rsidRPr="00CF7676">
        <w:rPr>
          <w:rFonts w:ascii="Arial" w:hAnsi="Arial" w:cs="Arial"/>
        </w:rPr>
        <w:t>a tipologia più pericolosa</w:t>
      </w:r>
      <w:r w:rsidR="007566A6" w:rsidRPr="00CF7676">
        <w:rPr>
          <w:rFonts w:ascii="Arial" w:hAnsi="Arial" w:cs="Arial"/>
        </w:rPr>
        <w:t xml:space="preserve"> è</w:t>
      </w:r>
      <w:r w:rsidR="0092612B" w:rsidRPr="00CF7676">
        <w:rPr>
          <w:rFonts w:ascii="Arial" w:hAnsi="Arial" w:cs="Arial"/>
        </w:rPr>
        <w:t xml:space="preserve"> </w:t>
      </w:r>
      <w:r w:rsidR="0062176A" w:rsidRPr="00CF7676">
        <w:rPr>
          <w:rFonts w:ascii="Arial" w:hAnsi="Arial" w:cs="Arial"/>
        </w:rPr>
        <w:t>lo scontro frontale</w:t>
      </w:r>
      <w:r w:rsidR="00A912A4" w:rsidRPr="00CF7676">
        <w:rPr>
          <w:rFonts w:ascii="Arial" w:hAnsi="Arial" w:cs="Arial"/>
        </w:rPr>
        <w:t xml:space="preserve"> </w:t>
      </w:r>
      <w:r w:rsidR="001411BC" w:rsidRPr="00CF7676">
        <w:rPr>
          <w:rFonts w:ascii="Arial" w:hAnsi="Arial" w:cs="Arial"/>
        </w:rPr>
        <w:t>(</w:t>
      </w:r>
      <w:r w:rsidR="004816A6">
        <w:rPr>
          <w:rFonts w:ascii="Arial" w:hAnsi="Arial" w:cs="Arial"/>
        </w:rPr>
        <w:t>12,2</w:t>
      </w:r>
      <w:r w:rsidR="0062176A" w:rsidRPr="00CF7676">
        <w:rPr>
          <w:rFonts w:ascii="Arial" w:hAnsi="Arial" w:cs="Arial"/>
        </w:rPr>
        <w:t xml:space="preserve"> </w:t>
      </w:r>
      <w:bookmarkStart w:id="3" w:name="_Hlk87081604"/>
      <w:r w:rsidR="001411BC" w:rsidRPr="00CF7676">
        <w:rPr>
          <w:rFonts w:ascii="Arial" w:hAnsi="Arial" w:cs="Arial"/>
        </w:rPr>
        <w:t>decessi ogni 100 incidenti</w:t>
      </w:r>
      <w:bookmarkEnd w:id="3"/>
      <w:r w:rsidR="001411BC" w:rsidRPr="00CF7676">
        <w:rPr>
          <w:rFonts w:ascii="Arial" w:hAnsi="Arial" w:cs="Arial"/>
        </w:rPr>
        <w:t xml:space="preserve">), </w:t>
      </w:r>
      <w:r w:rsidR="00694B0E" w:rsidRPr="00CF7676">
        <w:rPr>
          <w:rFonts w:ascii="Arial" w:hAnsi="Arial" w:cs="Arial"/>
        </w:rPr>
        <w:t>seguono</w:t>
      </w:r>
      <w:r w:rsidR="007F2F06" w:rsidRPr="00CF7676">
        <w:rPr>
          <w:rFonts w:ascii="Arial" w:hAnsi="Arial" w:cs="Arial"/>
        </w:rPr>
        <w:t xml:space="preserve"> </w:t>
      </w:r>
      <w:r w:rsidR="004816A6">
        <w:rPr>
          <w:rFonts w:ascii="Arial" w:hAnsi="Arial" w:cs="Arial"/>
        </w:rPr>
        <w:t>la fuoriuscita</w:t>
      </w:r>
      <w:r w:rsidR="00771078" w:rsidRPr="00CF7676">
        <w:rPr>
          <w:rFonts w:ascii="Arial" w:hAnsi="Arial" w:cs="Arial"/>
        </w:rPr>
        <w:t xml:space="preserve"> </w:t>
      </w:r>
      <w:r w:rsidR="00AB5D9B" w:rsidRPr="00CF7676">
        <w:rPr>
          <w:rFonts w:ascii="Arial" w:hAnsi="Arial" w:cs="Arial"/>
        </w:rPr>
        <w:t>(</w:t>
      </w:r>
      <w:r w:rsidR="004816A6">
        <w:rPr>
          <w:rFonts w:ascii="Arial" w:hAnsi="Arial" w:cs="Arial"/>
        </w:rPr>
        <w:t>6</w:t>
      </w:r>
      <w:r w:rsidR="00AB5D9B" w:rsidRPr="00CF7676">
        <w:rPr>
          <w:rFonts w:ascii="Arial" w:hAnsi="Arial" w:cs="Arial"/>
        </w:rPr>
        <w:t xml:space="preserve"> decessi ogni 100 incidenti)</w:t>
      </w:r>
      <w:r w:rsidR="00771078">
        <w:rPr>
          <w:rFonts w:ascii="Arial" w:hAnsi="Arial" w:cs="Arial"/>
        </w:rPr>
        <w:t xml:space="preserve"> e </w:t>
      </w:r>
      <w:r w:rsidR="004816A6">
        <w:rPr>
          <w:rFonts w:ascii="Arial" w:hAnsi="Arial" w:cs="Arial"/>
        </w:rPr>
        <w:t>la caduta da veicolo</w:t>
      </w:r>
      <w:r w:rsidR="00771078">
        <w:rPr>
          <w:rFonts w:ascii="Arial" w:hAnsi="Arial" w:cs="Arial"/>
        </w:rPr>
        <w:t xml:space="preserve"> (</w:t>
      </w:r>
      <w:r w:rsidR="004816A6">
        <w:rPr>
          <w:rFonts w:ascii="Arial" w:hAnsi="Arial" w:cs="Arial"/>
        </w:rPr>
        <w:t>5,9</w:t>
      </w:r>
      <w:r w:rsidR="00AB5D9B" w:rsidRPr="00CF7676">
        <w:rPr>
          <w:rFonts w:ascii="Arial" w:hAnsi="Arial" w:cs="Arial"/>
        </w:rPr>
        <w:t xml:space="preserve"> </w:t>
      </w:r>
      <w:r w:rsidR="00F67D50" w:rsidRPr="00CF7676">
        <w:rPr>
          <w:rFonts w:ascii="Arial" w:hAnsi="Arial" w:cs="Arial"/>
        </w:rPr>
        <w:t>decessi ogni 100 incidenti</w:t>
      </w:r>
      <w:r w:rsidR="001411BC" w:rsidRPr="00CF7676">
        <w:rPr>
          <w:rFonts w:ascii="Arial" w:hAnsi="Arial" w:cs="Arial"/>
        </w:rPr>
        <w:t>)</w:t>
      </w:r>
      <w:r w:rsidRPr="00CF7676">
        <w:rPr>
          <w:rFonts w:ascii="Arial" w:hAnsi="Arial" w:cs="Arial"/>
        </w:rPr>
        <w:t>.</w:t>
      </w:r>
      <w:r w:rsidR="007566A6" w:rsidRPr="00CF7676">
        <w:rPr>
          <w:rFonts w:ascii="Arial" w:hAnsi="Arial" w:cs="Arial"/>
        </w:rPr>
        <w:t xml:space="preserve"> G</w:t>
      </w:r>
      <w:r w:rsidRPr="00CF7676">
        <w:rPr>
          <w:rFonts w:ascii="Arial" w:hAnsi="Arial" w:cs="Arial"/>
        </w:rPr>
        <w:t>li incidenti a veicoli isolati</w:t>
      </w:r>
      <w:r w:rsidR="0055501F">
        <w:rPr>
          <w:rFonts w:ascii="Arial" w:hAnsi="Arial" w:cs="Arial"/>
        </w:rPr>
        <w:t>,</w:t>
      </w:r>
      <w:r w:rsidRPr="00CF7676">
        <w:rPr>
          <w:rFonts w:ascii="Arial" w:hAnsi="Arial" w:cs="Arial"/>
        </w:rPr>
        <w:t xml:space="preserve"> </w:t>
      </w:r>
      <w:r w:rsidR="0055501F" w:rsidRPr="00CF7676">
        <w:rPr>
          <w:rFonts w:ascii="Arial" w:hAnsi="Arial" w:cs="Arial"/>
        </w:rPr>
        <w:t xml:space="preserve">con una media di </w:t>
      </w:r>
      <w:r w:rsidR="0055501F">
        <w:rPr>
          <w:rFonts w:ascii="Arial" w:hAnsi="Arial" w:cs="Arial"/>
        </w:rPr>
        <w:t>5</w:t>
      </w:r>
      <w:r w:rsidR="0055501F" w:rsidRPr="00CF7676">
        <w:rPr>
          <w:rFonts w:ascii="Arial" w:hAnsi="Arial" w:cs="Arial"/>
        </w:rPr>
        <w:t xml:space="preserve"> morti ogni 100 incidenti, </w:t>
      </w:r>
      <w:r w:rsidR="00851B2A" w:rsidRPr="00CF7676">
        <w:rPr>
          <w:rFonts w:ascii="Arial" w:hAnsi="Arial" w:cs="Arial"/>
        </w:rPr>
        <w:t>risultano</w:t>
      </w:r>
      <w:r w:rsidRPr="00CF7676">
        <w:rPr>
          <w:rFonts w:ascii="Arial" w:hAnsi="Arial" w:cs="Arial"/>
        </w:rPr>
        <w:t xml:space="preserve"> più</w:t>
      </w:r>
      <w:r w:rsidR="00A33895" w:rsidRPr="00CF7676">
        <w:rPr>
          <w:rFonts w:ascii="Arial" w:hAnsi="Arial" w:cs="Arial"/>
        </w:rPr>
        <w:t xml:space="preserve"> </w:t>
      </w:r>
      <w:r w:rsidRPr="00CF7676">
        <w:rPr>
          <w:rFonts w:ascii="Arial" w:hAnsi="Arial" w:cs="Arial"/>
        </w:rPr>
        <w:t>rischiosi</w:t>
      </w:r>
      <w:r w:rsidR="00A33895" w:rsidRPr="00CF7676">
        <w:rPr>
          <w:rFonts w:ascii="Arial" w:hAnsi="Arial" w:cs="Arial"/>
        </w:rPr>
        <w:t xml:space="preserve"> </w:t>
      </w:r>
      <w:r w:rsidR="00851B2A" w:rsidRPr="00CF7676">
        <w:rPr>
          <w:rFonts w:ascii="Arial" w:hAnsi="Arial" w:cs="Arial"/>
        </w:rPr>
        <w:t xml:space="preserve">rispetto a </w:t>
      </w:r>
      <w:r w:rsidR="00851B2A" w:rsidRPr="00040EC1">
        <w:rPr>
          <w:rFonts w:ascii="Arial" w:hAnsi="Arial" w:cs="Arial"/>
        </w:rPr>
        <w:t>quelli che vedono coinvolti più veicoli</w:t>
      </w:r>
      <w:r w:rsidRPr="00040EC1">
        <w:rPr>
          <w:rFonts w:ascii="Arial" w:hAnsi="Arial" w:cs="Arial"/>
        </w:rPr>
        <w:t xml:space="preserve"> </w:t>
      </w:r>
      <w:r w:rsidR="00851B2A" w:rsidRPr="00040EC1">
        <w:rPr>
          <w:rFonts w:ascii="Arial" w:hAnsi="Arial" w:cs="Arial"/>
        </w:rPr>
        <w:t>(</w:t>
      </w:r>
      <w:r w:rsidR="004816A6">
        <w:rPr>
          <w:rFonts w:ascii="Arial" w:hAnsi="Arial" w:cs="Arial"/>
        </w:rPr>
        <w:t>3,1</w:t>
      </w:r>
      <w:r w:rsidR="00F67D50" w:rsidRPr="00040EC1">
        <w:rPr>
          <w:rFonts w:ascii="Arial" w:hAnsi="Arial" w:cs="Arial"/>
        </w:rPr>
        <w:t xml:space="preserve"> </w:t>
      </w:r>
      <w:r w:rsidR="00851B2A" w:rsidRPr="00040EC1">
        <w:rPr>
          <w:rFonts w:ascii="Arial" w:hAnsi="Arial" w:cs="Arial"/>
        </w:rPr>
        <w:t>decessi).</w:t>
      </w:r>
    </w:p>
    <w:p w14:paraId="1509625C" w14:textId="3DD8F768" w:rsidR="00CD11A2" w:rsidRPr="00040EC1" w:rsidRDefault="00935FDE" w:rsidP="008F317B">
      <w:pPr>
        <w:suppressAutoHyphens/>
        <w:spacing w:before="100" w:beforeAutospacing="1" w:after="120"/>
        <w:jc w:val="both"/>
        <w:rPr>
          <w:rFonts w:ascii="Arial" w:hAnsi="Arial" w:cs="Arial"/>
          <w:sz w:val="20"/>
          <w:szCs w:val="20"/>
        </w:rPr>
      </w:pPr>
      <w:r w:rsidRPr="00040EC1">
        <w:rPr>
          <w:rFonts w:ascii="Arial" w:hAnsi="Arial" w:cs="Arial"/>
          <w:sz w:val="20"/>
          <w:szCs w:val="20"/>
        </w:rPr>
        <w:t xml:space="preserve">Nell’ambito dei comportamenti errati di guida, </w:t>
      </w:r>
      <w:r w:rsidR="00FF0236" w:rsidRPr="00040EC1">
        <w:rPr>
          <w:rFonts w:ascii="Arial" w:hAnsi="Arial" w:cs="Arial"/>
          <w:sz w:val="20"/>
          <w:szCs w:val="20"/>
        </w:rPr>
        <w:t>la guida distratta</w:t>
      </w:r>
      <w:r w:rsidR="00FF0236">
        <w:rPr>
          <w:rFonts w:ascii="Arial" w:hAnsi="Arial" w:cs="Arial"/>
          <w:sz w:val="20"/>
          <w:szCs w:val="20"/>
        </w:rPr>
        <w:t>,</w:t>
      </w:r>
      <w:r w:rsidR="00FF0236" w:rsidRPr="00FF0236">
        <w:rPr>
          <w:rFonts w:ascii="Arial" w:hAnsi="Arial" w:cs="Arial"/>
          <w:sz w:val="20"/>
          <w:szCs w:val="20"/>
        </w:rPr>
        <w:t xml:space="preserve"> </w:t>
      </w:r>
      <w:r w:rsidR="00FF0236" w:rsidRPr="00040EC1">
        <w:rPr>
          <w:rFonts w:ascii="Arial" w:hAnsi="Arial" w:cs="Arial"/>
          <w:sz w:val="20"/>
          <w:szCs w:val="20"/>
        </w:rPr>
        <w:t>la velocità troppo elevata</w:t>
      </w:r>
      <w:r w:rsidR="00FF0236">
        <w:rPr>
          <w:rFonts w:ascii="Arial" w:hAnsi="Arial" w:cs="Arial"/>
          <w:sz w:val="20"/>
          <w:szCs w:val="20"/>
        </w:rPr>
        <w:t xml:space="preserve"> e</w:t>
      </w:r>
      <w:r w:rsidR="00FF0236" w:rsidRPr="00040EC1">
        <w:rPr>
          <w:rFonts w:ascii="Arial" w:hAnsi="Arial" w:cs="Arial"/>
          <w:sz w:val="20"/>
          <w:szCs w:val="20"/>
        </w:rPr>
        <w:t xml:space="preserve"> </w:t>
      </w:r>
      <w:r w:rsidR="00324919" w:rsidRPr="00040EC1">
        <w:rPr>
          <w:rFonts w:ascii="Arial" w:hAnsi="Arial" w:cs="Arial"/>
          <w:sz w:val="20"/>
          <w:szCs w:val="20"/>
        </w:rPr>
        <w:t>il mancato rispetto delle regole di precedenza</w:t>
      </w:r>
      <w:r w:rsidR="008E6FC6" w:rsidRPr="00040EC1">
        <w:rPr>
          <w:rFonts w:ascii="Arial" w:hAnsi="Arial" w:cs="Arial"/>
          <w:sz w:val="20"/>
          <w:szCs w:val="20"/>
        </w:rPr>
        <w:t xml:space="preserve"> </w:t>
      </w:r>
      <w:r w:rsidRPr="00040EC1">
        <w:rPr>
          <w:rFonts w:ascii="Arial" w:hAnsi="Arial" w:cs="Arial"/>
          <w:sz w:val="20"/>
          <w:szCs w:val="20"/>
        </w:rPr>
        <w:t xml:space="preserve">sono le prime tre cause di incidente (escludendo il gruppo residuale delle cause di natura imprecisata). I tre gruppi costituiscono complessivamente il </w:t>
      </w:r>
      <w:r w:rsidR="004816A6">
        <w:rPr>
          <w:rFonts w:ascii="Arial" w:hAnsi="Arial" w:cs="Arial"/>
          <w:sz w:val="20"/>
          <w:szCs w:val="20"/>
        </w:rPr>
        <w:t>42,7</w:t>
      </w:r>
      <w:r w:rsidR="0030298E" w:rsidRPr="00040EC1">
        <w:rPr>
          <w:rFonts w:ascii="Arial" w:hAnsi="Arial" w:cs="Arial"/>
          <w:sz w:val="20"/>
          <w:szCs w:val="20"/>
        </w:rPr>
        <w:t>%</w:t>
      </w:r>
      <w:r w:rsidRPr="00040EC1">
        <w:rPr>
          <w:rFonts w:ascii="Arial" w:hAnsi="Arial" w:cs="Arial"/>
          <w:sz w:val="20"/>
          <w:szCs w:val="20"/>
        </w:rPr>
        <w:t xml:space="preserve"> dei casi. </w:t>
      </w:r>
      <w:r w:rsidR="008E02BF" w:rsidRPr="00040EC1">
        <w:rPr>
          <w:rFonts w:ascii="Arial" w:hAnsi="Arial" w:cs="Arial"/>
          <w:sz w:val="20"/>
          <w:szCs w:val="20"/>
        </w:rPr>
        <w:t xml:space="preserve">Considerando solo </w:t>
      </w:r>
      <w:r w:rsidR="00CD11A2" w:rsidRPr="00040EC1">
        <w:rPr>
          <w:rFonts w:ascii="Arial" w:hAnsi="Arial" w:cs="Arial"/>
          <w:sz w:val="20"/>
          <w:szCs w:val="20"/>
        </w:rPr>
        <w:t>le</w:t>
      </w:r>
      <w:r w:rsidRPr="00040EC1">
        <w:rPr>
          <w:rFonts w:ascii="Arial" w:hAnsi="Arial" w:cs="Arial"/>
          <w:sz w:val="20"/>
          <w:szCs w:val="20"/>
        </w:rPr>
        <w:t xml:space="preserve"> strade extraurbane</w:t>
      </w:r>
      <w:r w:rsidR="00401DA6" w:rsidRPr="00040EC1">
        <w:rPr>
          <w:rFonts w:ascii="Arial" w:hAnsi="Arial" w:cs="Arial"/>
          <w:sz w:val="20"/>
          <w:szCs w:val="20"/>
        </w:rPr>
        <w:t xml:space="preserve">, </w:t>
      </w:r>
      <w:r w:rsidR="00CD11A2" w:rsidRPr="00040EC1">
        <w:rPr>
          <w:rFonts w:ascii="Arial" w:hAnsi="Arial" w:cs="Arial"/>
          <w:sz w:val="20"/>
          <w:szCs w:val="20"/>
        </w:rPr>
        <w:t>la</w:t>
      </w:r>
      <w:r w:rsidR="003232EC" w:rsidRPr="00040EC1">
        <w:rPr>
          <w:rFonts w:ascii="Arial" w:hAnsi="Arial" w:cs="Arial"/>
          <w:sz w:val="20"/>
          <w:szCs w:val="20"/>
        </w:rPr>
        <w:t xml:space="preserve"> guida distratta </w:t>
      </w:r>
      <w:r w:rsidR="00401DA6" w:rsidRPr="00040EC1">
        <w:rPr>
          <w:rFonts w:ascii="Arial" w:hAnsi="Arial" w:cs="Arial"/>
          <w:sz w:val="20"/>
          <w:szCs w:val="20"/>
        </w:rPr>
        <w:t>incid</w:t>
      </w:r>
      <w:r w:rsidR="008777EA" w:rsidRPr="00040EC1">
        <w:rPr>
          <w:rFonts w:ascii="Arial" w:hAnsi="Arial" w:cs="Arial"/>
          <w:sz w:val="20"/>
          <w:szCs w:val="20"/>
        </w:rPr>
        <w:t xml:space="preserve">e </w:t>
      </w:r>
      <w:r w:rsidR="00485005" w:rsidRPr="00040EC1">
        <w:rPr>
          <w:rFonts w:ascii="Arial" w:hAnsi="Arial" w:cs="Arial"/>
          <w:sz w:val="20"/>
          <w:szCs w:val="20"/>
        </w:rPr>
        <w:t xml:space="preserve">da sola </w:t>
      </w:r>
      <w:r w:rsidR="00CD11A2" w:rsidRPr="00040EC1">
        <w:rPr>
          <w:rFonts w:ascii="Arial" w:hAnsi="Arial" w:cs="Arial"/>
          <w:sz w:val="20"/>
          <w:szCs w:val="20"/>
        </w:rPr>
        <w:t>per</w:t>
      </w:r>
      <w:r w:rsidR="00820799" w:rsidRPr="00040EC1">
        <w:rPr>
          <w:rFonts w:ascii="Arial" w:hAnsi="Arial" w:cs="Arial"/>
          <w:sz w:val="20"/>
          <w:szCs w:val="20"/>
        </w:rPr>
        <w:t xml:space="preserve"> </w:t>
      </w:r>
      <w:r w:rsidR="00494F05" w:rsidRPr="00040EC1">
        <w:rPr>
          <w:rFonts w:ascii="Arial" w:hAnsi="Arial" w:cs="Arial"/>
          <w:sz w:val="20"/>
          <w:szCs w:val="20"/>
        </w:rPr>
        <w:t>il</w:t>
      </w:r>
      <w:r w:rsidR="003232EC" w:rsidRPr="00040EC1">
        <w:rPr>
          <w:rFonts w:ascii="Arial" w:hAnsi="Arial" w:cs="Arial"/>
          <w:sz w:val="20"/>
          <w:szCs w:val="20"/>
        </w:rPr>
        <w:t xml:space="preserve"> </w:t>
      </w:r>
      <w:r w:rsidR="004816A6">
        <w:rPr>
          <w:rFonts w:ascii="Arial" w:hAnsi="Arial" w:cs="Arial"/>
          <w:sz w:val="20"/>
          <w:szCs w:val="20"/>
        </w:rPr>
        <w:t>22,3</w:t>
      </w:r>
      <w:r w:rsidR="00464F79" w:rsidRPr="00040EC1">
        <w:rPr>
          <w:rFonts w:ascii="Arial" w:hAnsi="Arial" w:cs="Arial"/>
          <w:sz w:val="20"/>
          <w:szCs w:val="20"/>
        </w:rPr>
        <w:t>%</w:t>
      </w:r>
      <w:r w:rsidR="00040EC1" w:rsidRPr="00040EC1">
        <w:rPr>
          <w:rFonts w:ascii="Arial" w:hAnsi="Arial" w:cs="Arial"/>
          <w:sz w:val="20"/>
          <w:szCs w:val="20"/>
        </w:rPr>
        <w:t xml:space="preserve"> mentre l’elevata velocita</w:t>
      </w:r>
      <w:r w:rsidR="00485005" w:rsidRPr="00040EC1">
        <w:rPr>
          <w:rFonts w:ascii="Arial" w:hAnsi="Arial" w:cs="Arial"/>
          <w:b/>
          <w:sz w:val="20"/>
          <w:szCs w:val="20"/>
        </w:rPr>
        <w:t xml:space="preserve"> </w:t>
      </w:r>
      <w:r w:rsidR="00040EC1" w:rsidRPr="00A57520">
        <w:rPr>
          <w:rFonts w:ascii="Arial" w:hAnsi="Arial" w:cs="Arial"/>
          <w:sz w:val="20"/>
          <w:szCs w:val="20"/>
        </w:rPr>
        <w:t xml:space="preserve">per il </w:t>
      </w:r>
      <w:r w:rsidR="004816A6">
        <w:rPr>
          <w:rFonts w:ascii="Arial" w:hAnsi="Arial" w:cs="Arial"/>
          <w:sz w:val="20"/>
          <w:szCs w:val="20"/>
        </w:rPr>
        <w:t>16,6</w:t>
      </w:r>
      <w:r w:rsidR="00040EC1" w:rsidRPr="00A57520">
        <w:rPr>
          <w:rFonts w:ascii="Arial" w:hAnsi="Arial" w:cs="Arial"/>
          <w:sz w:val="20"/>
          <w:szCs w:val="20"/>
        </w:rPr>
        <w:t>%</w:t>
      </w:r>
      <w:r w:rsidR="00040EC1" w:rsidRPr="00040EC1">
        <w:rPr>
          <w:rFonts w:ascii="Arial" w:hAnsi="Arial" w:cs="Arial"/>
          <w:b/>
          <w:sz w:val="20"/>
          <w:szCs w:val="20"/>
        </w:rPr>
        <w:t xml:space="preserve"> </w:t>
      </w:r>
      <w:r w:rsidR="00E50071" w:rsidRPr="00040EC1">
        <w:rPr>
          <w:rFonts w:ascii="Arial" w:hAnsi="Arial" w:cs="Arial"/>
          <w:sz w:val="20"/>
          <w:szCs w:val="20"/>
        </w:rPr>
        <w:t>(</w:t>
      </w:r>
      <w:r w:rsidR="00336B87" w:rsidRPr="00040EC1">
        <w:rPr>
          <w:rFonts w:ascii="Arial" w:hAnsi="Arial" w:cs="Arial"/>
          <w:sz w:val="20"/>
          <w:szCs w:val="20"/>
        </w:rPr>
        <w:t xml:space="preserve">Tavola </w:t>
      </w:r>
      <w:r w:rsidR="007813B1" w:rsidRPr="00040EC1">
        <w:rPr>
          <w:rFonts w:ascii="Arial" w:hAnsi="Arial" w:cs="Arial"/>
          <w:sz w:val="20"/>
          <w:szCs w:val="20"/>
        </w:rPr>
        <w:t>14</w:t>
      </w:r>
      <w:r w:rsidR="00981758" w:rsidRPr="00040EC1">
        <w:rPr>
          <w:rFonts w:ascii="Arial" w:hAnsi="Arial" w:cs="Arial"/>
          <w:sz w:val="20"/>
          <w:szCs w:val="20"/>
        </w:rPr>
        <w:t xml:space="preserve">, </w:t>
      </w:r>
      <w:r w:rsidR="000C121E" w:rsidRPr="00040EC1">
        <w:rPr>
          <w:rFonts w:ascii="Arial" w:hAnsi="Arial" w:cs="Arial"/>
          <w:sz w:val="20"/>
          <w:szCs w:val="20"/>
        </w:rPr>
        <w:t>in allegato</w:t>
      </w:r>
      <w:r w:rsidR="00E50071" w:rsidRPr="00040EC1">
        <w:rPr>
          <w:rFonts w:ascii="Arial" w:hAnsi="Arial" w:cs="Arial"/>
          <w:sz w:val="20"/>
          <w:szCs w:val="20"/>
        </w:rPr>
        <w:t>)</w:t>
      </w:r>
      <w:r w:rsidR="00B11515" w:rsidRPr="00040EC1">
        <w:rPr>
          <w:rFonts w:ascii="Arial" w:hAnsi="Arial" w:cs="Arial"/>
          <w:sz w:val="20"/>
          <w:szCs w:val="20"/>
        </w:rPr>
        <w:t>.</w:t>
      </w:r>
    </w:p>
    <w:p w14:paraId="240F1F84" w14:textId="1D39C9FC" w:rsidR="00D91F73" w:rsidRDefault="005B70FC" w:rsidP="00985D39">
      <w:pPr>
        <w:suppressAutoHyphens/>
        <w:spacing w:after="120"/>
        <w:jc w:val="both"/>
        <w:rPr>
          <w:rStyle w:val="apple-style-span"/>
          <w:rFonts w:ascii="Arial" w:hAnsi="Arial" w:cs="Arial"/>
          <w:sz w:val="20"/>
          <w:szCs w:val="20"/>
        </w:rPr>
      </w:pPr>
      <w:r w:rsidRPr="00485547">
        <w:rPr>
          <w:rStyle w:val="apple-style-span"/>
          <w:rFonts w:ascii="Arial" w:hAnsi="Arial" w:cs="Arial"/>
          <w:sz w:val="20"/>
          <w:szCs w:val="20"/>
        </w:rPr>
        <w:t xml:space="preserve">Il tasso di mortalità standardizzato è più alto </w:t>
      </w:r>
      <w:r w:rsidR="003F6AA0" w:rsidRPr="00485547">
        <w:rPr>
          <w:rStyle w:val="apple-style-span"/>
          <w:rFonts w:ascii="Arial" w:hAnsi="Arial" w:cs="Arial"/>
          <w:sz w:val="20"/>
          <w:szCs w:val="20"/>
        </w:rPr>
        <w:t>per l</w:t>
      </w:r>
      <w:r w:rsidR="00107150">
        <w:rPr>
          <w:rStyle w:val="apple-style-span"/>
          <w:rFonts w:ascii="Arial" w:hAnsi="Arial" w:cs="Arial"/>
          <w:sz w:val="20"/>
          <w:szCs w:val="20"/>
        </w:rPr>
        <w:t>e</w:t>
      </w:r>
      <w:r w:rsidR="003F6AA0" w:rsidRPr="00485547">
        <w:rPr>
          <w:rStyle w:val="apple-style-span"/>
          <w:rFonts w:ascii="Arial" w:hAnsi="Arial" w:cs="Arial"/>
          <w:sz w:val="20"/>
          <w:szCs w:val="20"/>
        </w:rPr>
        <w:t xml:space="preserve"> class</w:t>
      </w:r>
      <w:r w:rsidR="00107150">
        <w:rPr>
          <w:rStyle w:val="apple-style-span"/>
          <w:rFonts w:ascii="Arial" w:hAnsi="Arial" w:cs="Arial"/>
          <w:sz w:val="20"/>
          <w:szCs w:val="20"/>
        </w:rPr>
        <w:t>i</w:t>
      </w:r>
      <w:r w:rsidR="003F6AA0" w:rsidRPr="00485547">
        <w:rPr>
          <w:rStyle w:val="apple-style-span"/>
          <w:rFonts w:ascii="Arial" w:hAnsi="Arial" w:cs="Arial"/>
          <w:sz w:val="20"/>
          <w:szCs w:val="20"/>
        </w:rPr>
        <w:t xml:space="preserve"> di età </w:t>
      </w:r>
      <w:r w:rsidR="002F0BA0">
        <w:rPr>
          <w:rStyle w:val="apple-style-span"/>
          <w:rFonts w:ascii="Arial" w:hAnsi="Arial" w:cs="Arial"/>
          <w:sz w:val="20"/>
          <w:szCs w:val="20"/>
        </w:rPr>
        <w:t>30-44 anni</w:t>
      </w:r>
      <w:r w:rsidR="003F6AA0" w:rsidRPr="00485547">
        <w:rPr>
          <w:rStyle w:val="apple-style-span"/>
          <w:rFonts w:ascii="Arial" w:hAnsi="Arial" w:cs="Arial"/>
          <w:sz w:val="20"/>
          <w:szCs w:val="20"/>
        </w:rPr>
        <w:t xml:space="preserve"> </w:t>
      </w:r>
      <w:r w:rsidRPr="00485547">
        <w:rPr>
          <w:rStyle w:val="apple-style-span"/>
          <w:rFonts w:ascii="Arial" w:hAnsi="Arial" w:cs="Arial"/>
          <w:sz w:val="20"/>
          <w:szCs w:val="20"/>
        </w:rPr>
        <w:t>(</w:t>
      </w:r>
      <w:r w:rsidR="00C00150">
        <w:rPr>
          <w:rStyle w:val="apple-style-span"/>
          <w:rFonts w:ascii="Arial" w:hAnsi="Arial" w:cs="Arial"/>
          <w:sz w:val="20"/>
          <w:szCs w:val="20"/>
        </w:rPr>
        <w:t>9,0</w:t>
      </w:r>
      <w:r w:rsidRPr="00485547">
        <w:rPr>
          <w:rStyle w:val="apple-style-span"/>
          <w:rFonts w:ascii="Arial" w:hAnsi="Arial" w:cs="Arial"/>
          <w:sz w:val="20"/>
          <w:szCs w:val="20"/>
        </w:rPr>
        <w:t xml:space="preserve"> per 100mila </w:t>
      </w:r>
      <w:r w:rsidR="006A2BDA" w:rsidRPr="00485547">
        <w:rPr>
          <w:rStyle w:val="apple-style-span"/>
          <w:rFonts w:ascii="Arial" w:hAnsi="Arial" w:cs="Arial"/>
          <w:sz w:val="20"/>
          <w:szCs w:val="20"/>
        </w:rPr>
        <w:t>a</w:t>
      </w:r>
      <w:r w:rsidR="005802D5" w:rsidRPr="00485547">
        <w:rPr>
          <w:rStyle w:val="apple-style-span"/>
          <w:rFonts w:ascii="Arial" w:hAnsi="Arial" w:cs="Arial"/>
          <w:sz w:val="20"/>
          <w:szCs w:val="20"/>
        </w:rPr>
        <w:t>bitanti)</w:t>
      </w:r>
      <w:r w:rsidR="002F0BA0">
        <w:rPr>
          <w:rStyle w:val="apple-style-span"/>
          <w:rFonts w:ascii="Arial" w:hAnsi="Arial" w:cs="Arial"/>
          <w:sz w:val="20"/>
          <w:szCs w:val="20"/>
        </w:rPr>
        <w:t xml:space="preserve"> e </w:t>
      </w:r>
      <w:r w:rsidR="00C00150">
        <w:rPr>
          <w:rStyle w:val="apple-style-span"/>
          <w:rFonts w:ascii="Arial" w:hAnsi="Arial" w:cs="Arial"/>
          <w:sz w:val="20"/>
          <w:szCs w:val="20"/>
        </w:rPr>
        <w:t>65</w:t>
      </w:r>
      <w:r w:rsidR="002F0BA0">
        <w:rPr>
          <w:rStyle w:val="apple-style-span"/>
          <w:rFonts w:ascii="Arial" w:hAnsi="Arial" w:cs="Arial"/>
          <w:sz w:val="20"/>
          <w:szCs w:val="20"/>
        </w:rPr>
        <w:t xml:space="preserve"> anni </w:t>
      </w:r>
      <w:r w:rsidR="00C00150">
        <w:rPr>
          <w:rStyle w:val="apple-style-span"/>
          <w:rFonts w:ascii="Arial" w:hAnsi="Arial" w:cs="Arial"/>
          <w:sz w:val="20"/>
          <w:szCs w:val="20"/>
        </w:rPr>
        <w:t xml:space="preserve">e </w:t>
      </w:r>
      <w:r w:rsidR="000126EC">
        <w:rPr>
          <w:rStyle w:val="apple-style-span"/>
          <w:rFonts w:ascii="Arial" w:hAnsi="Arial" w:cs="Arial"/>
          <w:sz w:val="20"/>
          <w:szCs w:val="20"/>
        </w:rPr>
        <w:t>oltre (</w:t>
      </w:r>
      <w:r w:rsidR="00C00150">
        <w:rPr>
          <w:rStyle w:val="apple-style-span"/>
          <w:rFonts w:ascii="Arial" w:hAnsi="Arial" w:cs="Arial"/>
          <w:sz w:val="20"/>
          <w:szCs w:val="20"/>
        </w:rPr>
        <w:t>8,4</w:t>
      </w:r>
      <w:r w:rsidR="002F0BA0">
        <w:rPr>
          <w:rStyle w:val="apple-style-span"/>
          <w:rFonts w:ascii="Arial" w:hAnsi="Arial" w:cs="Arial"/>
          <w:sz w:val="20"/>
          <w:szCs w:val="20"/>
        </w:rPr>
        <w:t>)</w:t>
      </w:r>
      <w:r w:rsidRPr="00485547">
        <w:rPr>
          <w:rStyle w:val="apple-style-span"/>
          <w:rFonts w:ascii="Arial" w:hAnsi="Arial" w:cs="Arial"/>
          <w:sz w:val="20"/>
          <w:szCs w:val="20"/>
        </w:rPr>
        <w:t xml:space="preserve">. </w:t>
      </w:r>
      <w:r w:rsidR="00107150" w:rsidRPr="00485547">
        <w:rPr>
          <w:rStyle w:val="apple-style-span"/>
          <w:rFonts w:ascii="Arial" w:hAnsi="Arial" w:cs="Arial"/>
          <w:sz w:val="20"/>
          <w:szCs w:val="20"/>
        </w:rPr>
        <w:t xml:space="preserve">Il tasso di lesività standardizzato è pari a </w:t>
      </w:r>
      <w:r w:rsidR="000126EC">
        <w:rPr>
          <w:rStyle w:val="apple-style-span"/>
          <w:rFonts w:ascii="Arial" w:hAnsi="Arial" w:cs="Arial"/>
          <w:sz w:val="20"/>
          <w:szCs w:val="20"/>
        </w:rPr>
        <w:t xml:space="preserve">528,4 </w:t>
      </w:r>
      <w:r w:rsidR="00107150" w:rsidRPr="00485547">
        <w:rPr>
          <w:rStyle w:val="apple-style-span"/>
          <w:rFonts w:ascii="Arial" w:hAnsi="Arial" w:cs="Arial"/>
          <w:sz w:val="20"/>
          <w:szCs w:val="20"/>
        </w:rPr>
        <w:t>per la classe di età 15-29 anni</w:t>
      </w:r>
      <w:r w:rsidR="00107150">
        <w:rPr>
          <w:rStyle w:val="apple-style-span"/>
          <w:rFonts w:ascii="Arial" w:hAnsi="Arial" w:cs="Arial"/>
          <w:sz w:val="20"/>
          <w:szCs w:val="20"/>
        </w:rPr>
        <w:t>,</w:t>
      </w:r>
      <w:r w:rsidR="00107150" w:rsidRPr="00485547">
        <w:rPr>
          <w:rStyle w:val="apple-style-span"/>
          <w:rFonts w:ascii="Arial" w:hAnsi="Arial" w:cs="Arial"/>
          <w:sz w:val="20"/>
          <w:szCs w:val="20"/>
        </w:rPr>
        <w:t xml:space="preserve"> a </w:t>
      </w:r>
      <w:r w:rsidR="00C00150">
        <w:rPr>
          <w:rStyle w:val="apple-style-span"/>
          <w:rFonts w:ascii="Arial" w:hAnsi="Arial" w:cs="Arial"/>
          <w:sz w:val="20"/>
          <w:szCs w:val="20"/>
        </w:rPr>
        <w:t>325,7</w:t>
      </w:r>
      <w:r w:rsidR="00107150" w:rsidRPr="00485547">
        <w:rPr>
          <w:rStyle w:val="apple-style-span"/>
          <w:rFonts w:ascii="Arial" w:hAnsi="Arial" w:cs="Arial"/>
          <w:sz w:val="20"/>
          <w:szCs w:val="20"/>
        </w:rPr>
        <w:t xml:space="preserve"> per quella 30-44 anni</w:t>
      </w:r>
      <w:r w:rsidR="00107150">
        <w:rPr>
          <w:rStyle w:val="apple-style-span"/>
          <w:rFonts w:ascii="Arial" w:hAnsi="Arial" w:cs="Arial"/>
          <w:sz w:val="20"/>
          <w:szCs w:val="20"/>
        </w:rPr>
        <w:t>.</w:t>
      </w:r>
      <w:r w:rsidR="00107150" w:rsidRPr="00485547">
        <w:rPr>
          <w:rStyle w:val="apple-style-span"/>
          <w:rFonts w:ascii="Arial" w:hAnsi="Arial" w:cs="Arial"/>
          <w:sz w:val="20"/>
          <w:szCs w:val="20"/>
        </w:rPr>
        <w:t xml:space="preserve"> </w:t>
      </w:r>
      <w:r w:rsidRPr="00485547">
        <w:rPr>
          <w:rStyle w:val="apple-style-span"/>
          <w:rFonts w:ascii="Arial" w:hAnsi="Arial" w:cs="Arial"/>
          <w:sz w:val="20"/>
          <w:szCs w:val="20"/>
        </w:rPr>
        <w:t xml:space="preserve">I conducenti dei veicoli coinvolti rappresentano il </w:t>
      </w:r>
      <w:r w:rsidR="008B1E70">
        <w:rPr>
          <w:rStyle w:val="apple-style-span"/>
          <w:rFonts w:ascii="Arial" w:hAnsi="Arial" w:cs="Arial"/>
          <w:sz w:val="20"/>
          <w:szCs w:val="20"/>
        </w:rPr>
        <w:t>75,0</w:t>
      </w:r>
      <w:r w:rsidRPr="00485547">
        <w:rPr>
          <w:rStyle w:val="apple-style-span"/>
          <w:rFonts w:ascii="Arial" w:hAnsi="Arial" w:cs="Arial"/>
          <w:sz w:val="20"/>
          <w:szCs w:val="20"/>
        </w:rPr>
        <w:t>%</w:t>
      </w:r>
      <w:r w:rsidR="00506E50" w:rsidRPr="00485547">
        <w:rPr>
          <w:rStyle w:val="apple-style-span"/>
          <w:rFonts w:ascii="Arial" w:hAnsi="Arial" w:cs="Arial"/>
          <w:sz w:val="20"/>
          <w:szCs w:val="20"/>
        </w:rPr>
        <w:t xml:space="preserve"> </w:t>
      </w:r>
      <w:r w:rsidRPr="00485547">
        <w:rPr>
          <w:rStyle w:val="apple-style-span"/>
          <w:rFonts w:ascii="Arial" w:hAnsi="Arial" w:cs="Arial"/>
          <w:sz w:val="20"/>
          <w:szCs w:val="20"/>
        </w:rPr>
        <w:t xml:space="preserve">delle vittime e il </w:t>
      </w:r>
      <w:r w:rsidR="008B1E70">
        <w:rPr>
          <w:rStyle w:val="apple-style-span"/>
          <w:rFonts w:ascii="Arial" w:hAnsi="Arial" w:cs="Arial"/>
          <w:sz w:val="20"/>
          <w:szCs w:val="20"/>
        </w:rPr>
        <w:t>67,5</w:t>
      </w:r>
      <w:r w:rsidRPr="00485547">
        <w:rPr>
          <w:rStyle w:val="apple-style-span"/>
          <w:rFonts w:ascii="Arial" w:hAnsi="Arial" w:cs="Arial"/>
          <w:sz w:val="20"/>
          <w:szCs w:val="20"/>
        </w:rPr>
        <w:t>% dei feriti in incidenti stradali, le persone</w:t>
      </w:r>
      <w:r w:rsidR="006F7E8E" w:rsidRPr="00485547">
        <w:rPr>
          <w:rStyle w:val="apple-style-span"/>
          <w:rFonts w:ascii="Arial" w:hAnsi="Arial" w:cs="Arial"/>
          <w:sz w:val="20"/>
          <w:szCs w:val="20"/>
        </w:rPr>
        <w:t xml:space="preserve"> trasportate </w:t>
      </w:r>
      <w:r w:rsidR="008B1E70">
        <w:rPr>
          <w:rStyle w:val="apple-style-span"/>
          <w:rFonts w:ascii="Arial" w:hAnsi="Arial" w:cs="Arial"/>
          <w:sz w:val="20"/>
          <w:szCs w:val="20"/>
        </w:rPr>
        <w:t>l’11,1</w:t>
      </w:r>
      <w:r w:rsidR="00554062" w:rsidRPr="00485547">
        <w:rPr>
          <w:rStyle w:val="apple-style-span"/>
          <w:rFonts w:ascii="Arial" w:hAnsi="Arial" w:cs="Arial"/>
          <w:sz w:val="20"/>
          <w:szCs w:val="20"/>
        </w:rPr>
        <w:t xml:space="preserve">% </w:t>
      </w:r>
      <w:r w:rsidR="006F7E8E" w:rsidRPr="00485547">
        <w:rPr>
          <w:rStyle w:val="apple-style-span"/>
          <w:rFonts w:ascii="Arial" w:hAnsi="Arial" w:cs="Arial"/>
          <w:sz w:val="20"/>
          <w:szCs w:val="20"/>
        </w:rPr>
        <w:t>dei morti e il</w:t>
      </w:r>
      <w:r w:rsidR="00506E50" w:rsidRPr="00485547">
        <w:rPr>
          <w:rStyle w:val="apple-style-span"/>
          <w:rFonts w:ascii="Arial" w:hAnsi="Arial" w:cs="Arial"/>
          <w:sz w:val="20"/>
          <w:szCs w:val="20"/>
        </w:rPr>
        <w:t xml:space="preserve"> </w:t>
      </w:r>
      <w:r w:rsidR="008B1E70">
        <w:rPr>
          <w:rStyle w:val="apple-style-span"/>
          <w:rFonts w:ascii="Arial" w:hAnsi="Arial" w:cs="Arial"/>
          <w:sz w:val="20"/>
          <w:szCs w:val="20"/>
        </w:rPr>
        <w:t>25,4</w:t>
      </w:r>
      <w:r w:rsidR="00506E50" w:rsidRPr="00485547">
        <w:rPr>
          <w:rStyle w:val="apple-style-span"/>
          <w:rFonts w:ascii="Arial" w:hAnsi="Arial" w:cs="Arial"/>
          <w:sz w:val="20"/>
          <w:szCs w:val="20"/>
        </w:rPr>
        <w:t xml:space="preserve">% dei feriti, i pedoni il </w:t>
      </w:r>
      <w:r w:rsidR="008B1E70">
        <w:rPr>
          <w:rStyle w:val="apple-style-span"/>
          <w:rFonts w:ascii="Arial" w:hAnsi="Arial" w:cs="Arial"/>
          <w:sz w:val="20"/>
          <w:szCs w:val="20"/>
        </w:rPr>
        <w:t>13,9</w:t>
      </w:r>
      <w:r w:rsidR="00506E50" w:rsidRPr="00485547">
        <w:rPr>
          <w:rStyle w:val="apple-style-span"/>
          <w:rFonts w:ascii="Arial" w:hAnsi="Arial" w:cs="Arial"/>
          <w:sz w:val="20"/>
          <w:szCs w:val="20"/>
        </w:rPr>
        <w:t>%</w:t>
      </w:r>
      <w:r w:rsidR="002A786C" w:rsidRPr="00485547">
        <w:rPr>
          <w:rStyle w:val="apple-style-span"/>
          <w:rFonts w:ascii="Arial" w:hAnsi="Arial" w:cs="Arial"/>
          <w:sz w:val="20"/>
          <w:szCs w:val="20"/>
        </w:rPr>
        <w:t xml:space="preserve"> </w:t>
      </w:r>
      <w:r w:rsidR="00506E50" w:rsidRPr="00485547">
        <w:rPr>
          <w:rStyle w:val="apple-style-span"/>
          <w:rFonts w:ascii="Arial" w:hAnsi="Arial" w:cs="Arial"/>
          <w:sz w:val="20"/>
          <w:szCs w:val="20"/>
        </w:rPr>
        <w:t xml:space="preserve">dei deceduti e il </w:t>
      </w:r>
      <w:r w:rsidR="008B1E70">
        <w:rPr>
          <w:rStyle w:val="apple-style-span"/>
          <w:rFonts w:ascii="Arial" w:hAnsi="Arial" w:cs="Arial"/>
          <w:sz w:val="20"/>
          <w:szCs w:val="20"/>
        </w:rPr>
        <w:t>7,1</w:t>
      </w:r>
      <w:r w:rsidR="00506E50" w:rsidRPr="00485547">
        <w:rPr>
          <w:rStyle w:val="apple-style-span"/>
          <w:rFonts w:ascii="Arial" w:hAnsi="Arial" w:cs="Arial"/>
          <w:sz w:val="20"/>
          <w:szCs w:val="20"/>
        </w:rPr>
        <w:t xml:space="preserve">% dei feriti. </w:t>
      </w:r>
      <w:r w:rsidR="008B1E70">
        <w:rPr>
          <w:rStyle w:val="apple-style-span"/>
          <w:rFonts w:ascii="Arial" w:hAnsi="Arial" w:cs="Arial"/>
          <w:sz w:val="20"/>
          <w:szCs w:val="20"/>
        </w:rPr>
        <w:t>Dei cinque</w:t>
      </w:r>
      <w:r w:rsidR="00554062" w:rsidRPr="00485547">
        <w:rPr>
          <w:rStyle w:val="apple-style-span"/>
          <w:rFonts w:ascii="Arial" w:hAnsi="Arial" w:cs="Arial"/>
          <w:sz w:val="20"/>
          <w:szCs w:val="20"/>
        </w:rPr>
        <w:t xml:space="preserve"> pedoni rimasti vittima di incidente stradale</w:t>
      </w:r>
      <w:r w:rsidR="008B1E70">
        <w:rPr>
          <w:rStyle w:val="apple-style-span"/>
          <w:rFonts w:ascii="Arial" w:hAnsi="Arial" w:cs="Arial"/>
          <w:sz w:val="20"/>
          <w:szCs w:val="20"/>
        </w:rPr>
        <w:t>, tre</w:t>
      </w:r>
      <w:r w:rsidR="00554062" w:rsidRPr="00485547">
        <w:rPr>
          <w:rStyle w:val="apple-style-span"/>
          <w:rFonts w:ascii="Arial" w:hAnsi="Arial" w:cs="Arial"/>
          <w:sz w:val="20"/>
          <w:szCs w:val="20"/>
        </w:rPr>
        <w:t xml:space="preserve"> </w:t>
      </w:r>
      <w:r w:rsidR="00436D04">
        <w:rPr>
          <w:rStyle w:val="apple-style-span"/>
          <w:rFonts w:ascii="Arial" w:hAnsi="Arial" w:cs="Arial"/>
          <w:sz w:val="20"/>
          <w:szCs w:val="20"/>
        </w:rPr>
        <w:t xml:space="preserve">avevano </w:t>
      </w:r>
      <w:r w:rsidR="008B1E70">
        <w:rPr>
          <w:rStyle w:val="apple-style-span"/>
          <w:rFonts w:ascii="Arial" w:hAnsi="Arial" w:cs="Arial"/>
          <w:sz w:val="20"/>
          <w:szCs w:val="20"/>
        </w:rPr>
        <w:t>almeno 65 anni</w:t>
      </w:r>
      <w:r w:rsidR="00436D04">
        <w:rPr>
          <w:rStyle w:val="apple-style-span"/>
          <w:rFonts w:ascii="Arial" w:hAnsi="Arial" w:cs="Arial"/>
          <w:sz w:val="20"/>
          <w:szCs w:val="20"/>
        </w:rPr>
        <w:t xml:space="preserve"> </w:t>
      </w:r>
      <w:r w:rsidR="00554062" w:rsidRPr="00485547">
        <w:rPr>
          <w:rStyle w:val="apple-style-span"/>
          <w:rFonts w:ascii="Arial" w:hAnsi="Arial" w:cs="Arial"/>
          <w:sz w:val="20"/>
          <w:szCs w:val="20"/>
        </w:rPr>
        <w:t xml:space="preserve">mentre </w:t>
      </w:r>
      <w:r w:rsidR="007E5084" w:rsidRPr="00485547">
        <w:rPr>
          <w:rStyle w:val="apple-style-span"/>
          <w:rFonts w:ascii="Arial" w:hAnsi="Arial" w:cs="Arial"/>
          <w:sz w:val="20"/>
          <w:szCs w:val="20"/>
        </w:rPr>
        <w:t xml:space="preserve">il </w:t>
      </w:r>
      <w:r w:rsidR="008B1E70">
        <w:rPr>
          <w:rStyle w:val="apple-style-span"/>
          <w:rFonts w:ascii="Arial" w:hAnsi="Arial" w:cs="Arial"/>
          <w:sz w:val="20"/>
          <w:szCs w:val="20"/>
        </w:rPr>
        <w:t>49,5</w:t>
      </w:r>
      <w:r w:rsidR="007E5084" w:rsidRPr="00485547">
        <w:rPr>
          <w:rStyle w:val="apple-style-span"/>
          <w:rFonts w:ascii="Arial" w:hAnsi="Arial" w:cs="Arial"/>
          <w:sz w:val="20"/>
          <w:szCs w:val="20"/>
        </w:rPr>
        <w:t xml:space="preserve">% </w:t>
      </w:r>
      <w:r w:rsidR="00554062" w:rsidRPr="00485547">
        <w:rPr>
          <w:rStyle w:val="apple-style-span"/>
          <w:rFonts w:ascii="Arial" w:hAnsi="Arial" w:cs="Arial"/>
          <w:sz w:val="20"/>
          <w:szCs w:val="20"/>
        </w:rPr>
        <w:t xml:space="preserve">dei pedoni feriti ha </w:t>
      </w:r>
      <w:r w:rsidR="00436D04">
        <w:rPr>
          <w:rStyle w:val="apple-style-span"/>
          <w:rFonts w:ascii="Arial" w:hAnsi="Arial" w:cs="Arial"/>
          <w:sz w:val="20"/>
          <w:szCs w:val="20"/>
        </w:rPr>
        <w:t>meno di 45</w:t>
      </w:r>
      <w:r w:rsidR="00554062" w:rsidRPr="00485547">
        <w:rPr>
          <w:rStyle w:val="apple-style-span"/>
          <w:rFonts w:ascii="Arial" w:hAnsi="Arial" w:cs="Arial"/>
          <w:sz w:val="20"/>
          <w:szCs w:val="20"/>
        </w:rPr>
        <w:t xml:space="preserve"> anni</w:t>
      </w:r>
      <w:r w:rsidRPr="00485547">
        <w:rPr>
          <w:rStyle w:val="apple-style-span"/>
          <w:rFonts w:ascii="Arial" w:hAnsi="Arial" w:cs="Arial"/>
          <w:sz w:val="20"/>
          <w:szCs w:val="20"/>
        </w:rPr>
        <w:t xml:space="preserve"> (Figure 8-</w:t>
      </w:r>
      <w:r w:rsidR="00293D96" w:rsidRPr="00485547">
        <w:rPr>
          <w:rStyle w:val="apple-style-span"/>
          <w:rFonts w:ascii="Arial" w:hAnsi="Arial" w:cs="Arial"/>
          <w:sz w:val="20"/>
          <w:szCs w:val="20"/>
        </w:rPr>
        <w:t>11)</w:t>
      </w:r>
      <w:r w:rsidR="00293D96" w:rsidRPr="00485547">
        <w:rPr>
          <w:rStyle w:val="apple-style-span"/>
          <w:rFonts w:ascii="Arial" w:hAnsi="Arial" w:cs="Arial"/>
          <w:sz w:val="20"/>
          <w:szCs w:val="20"/>
          <w:vertAlign w:val="superscript"/>
        </w:rPr>
        <w:t xml:space="preserve"> (</w:t>
      </w:r>
      <w:r w:rsidRPr="00485547">
        <w:rPr>
          <w:rStyle w:val="apple-style-span"/>
          <w:rFonts w:ascii="Arial" w:hAnsi="Arial" w:cs="Arial"/>
          <w:sz w:val="20"/>
          <w:szCs w:val="20"/>
          <w:vertAlign w:val="superscript"/>
        </w:rPr>
        <w:t>b</w:t>
      </w:r>
      <w:r w:rsidR="00293D96">
        <w:rPr>
          <w:rStyle w:val="apple-style-span"/>
          <w:rFonts w:ascii="Arial" w:hAnsi="Arial" w:cs="Arial"/>
          <w:sz w:val="20"/>
          <w:szCs w:val="20"/>
          <w:vertAlign w:val="superscript"/>
        </w:rPr>
        <w:t>)</w:t>
      </w:r>
      <w:r w:rsidRPr="00485547">
        <w:rPr>
          <w:rStyle w:val="apple-style-span"/>
          <w:rFonts w:ascii="Arial" w:hAnsi="Arial" w:cs="Arial"/>
          <w:sz w:val="20"/>
          <w:szCs w:val="20"/>
        </w:rPr>
        <w:t>.</w:t>
      </w:r>
    </w:p>
    <w:p w14:paraId="1674A83F" w14:textId="77777777" w:rsidR="00716572" w:rsidRDefault="00716572" w:rsidP="00985D39">
      <w:pPr>
        <w:suppressAutoHyphens/>
        <w:spacing w:after="120"/>
        <w:jc w:val="both"/>
        <w:rPr>
          <w:rStyle w:val="apple-style-span"/>
          <w:rFonts w:ascii="Arial" w:hAnsi="Arial" w:cs="Arial"/>
          <w:sz w:val="20"/>
          <w:szCs w:val="20"/>
        </w:rPr>
      </w:pPr>
    </w:p>
    <w:tbl>
      <w:tblPr>
        <w:tblStyle w:val="Grigliatabella"/>
        <w:tblW w:w="10276" w:type="dxa"/>
        <w:tblInd w:w="-14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104"/>
        <w:gridCol w:w="5172"/>
      </w:tblGrid>
      <w:tr w:rsidR="006D5EB7" w:rsidRPr="006D5EB7" w14:paraId="6BBD3648" w14:textId="77777777" w:rsidTr="00EB4E96">
        <w:tc>
          <w:tcPr>
            <w:tcW w:w="5104" w:type="dxa"/>
          </w:tcPr>
          <w:p w14:paraId="77366568" w14:textId="76CF9B03" w:rsidR="004B7B1B" w:rsidRPr="001F7BF0" w:rsidRDefault="004B7B1B" w:rsidP="001F7BF0">
            <w:pPr>
              <w:widowControl w:val="0"/>
              <w:suppressAutoHyphens/>
              <w:rPr>
                <w:rStyle w:val="apple-style-span"/>
                <w:rFonts w:ascii="Arial" w:hAnsi="Arial" w:cs="Arial"/>
                <w:sz w:val="20"/>
                <w:szCs w:val="20"/>
                <w:highlight w:val="yellow"/>
              </w:rPr>
            </w:pPr>
            <w:r w:rsidRPr="001F7BF0">
              <w:rPr>
                <w:rFonts w:ascii="Arial Narrow" w:hAnsi="Arial Narrow" w:cs="Arial"/>
                <w:b/>
                <w:bCs/>
                <w:iCs/>
                <w:caps/>
                <w:color w:val="808080" w:themeColor="background1" w:themeShade="80"/>
                <w:sz w:val="20"/>
                <w:szCs w:val="20"/>
              </w:rPr>
              <w:t xml:space="preserve">Figura </w:t>
            </w:r>
            <w:r w:rsidR="00A9331C" w:rsidRPr="001F7BF0">
              <w:rPr>
                <w:rFonts w:ascii="Arial Narrow" w:hAnsi="Arial Narrow" w:cs="Arial"/>
                <w:b/>
                <w:bCs/>
                <w:iCs/>
                <w:caps/>
                <w:color w:val="808080" w:themeColor="background1" w:themeShade="80"/>
                <w:sz w:val="20"/>
                <w:szCs w:val="20"/>
              </w:rPr>
              <w:t>8</w:t>
            </w:r>
            <w:r w:rsidR="00182EB3" w:rsidRPr="001F7BF0">
              <w:rPr>
                <w:rFonts w:ascii="Arial Narrow" w:hAnsi="Arial Narrow" w:cs="Arial"/>
                <w:b/>
                <w:bCs/>
                <w:iCs/>
                <w:caps/>
                <w:color w:val="808080" w:themeColor="background1" w:themeShade="80"/>
                <w:sz w:val="20"/>
                <w:szCs w:val="20"/>
              </w:rPr>
              <w:t>.</w:t>
            </w:r>
            <w:r w:rsidRPr="001F7BF0">
              <w:rPr>
                <w:rFonts w:ascii="Arial Narrow" w:hAnsi="Arial Narrow" w:cs="Arial"/>
                <w:b/>
                <w:bCs/>
                <w:iCs/>
                <w:caps/>
                <w:color w:val="808080" w:themeColor="background1" w:themeShade="80"/>
                <w:sz w:val="20"/>
                <w:szCs w:val="20"/>
              </w:rPr>
              <w:t xml:space="preserve"> Morti per genere, classe di età</w:t>
            </w:r>
            <w:r w:rsidR="0074109C" w:rsidRPr="001F7BF0">
              <w:rPr>
                <w:rFonts w:ascii="Arial Narrow" w:hAnsi="Arial Narrow" w:cs="Arial"/>
                <w:b/>
                <w:bCs/>
                <w:iCs/>
                <w:caps/>
                <w:color w:val="808080" w:themeColor="background1" w:themeShade="80"/>
                <w:sz w:val="20"/>
                <w:szCs w:val="20"/>
              </w:rPr>
              <w:t xml:space="preserve"> </w:t>
            </w:r>
            <w:r w:rsidRPr="001F7BF0">
              <w:rPr>
                <w:rFonts w:ascii="Arial Narrow" w:hAnsi="Arial Narrow" w:cs="Arial"/>
                <w:color w:val="808080" w:themeColor="background1" w:themeShade="80"/>
                <w:sz w:val="19"/>
                <w:szCs w:val="19"/>
              </w:rPr>
              <w:t>(asse sinistro, valori assoluti)</w:t>
            </w:r>
            <w:r w:rsidR="0074109C" w:rsidRPr="001F7BF0">
              <w:rPr>
                <w:rFonts w:ascii="Arial Narrow" w:hAnsi="Arial Narrow" w:cs="Arial"/>
                <w:color w:val="808080" w:themeColor="background1" w:themeShade="80"/>
                <w:sz w:val="19"/>
                <w:szCs w:val="19"/>
              </w:rPr>
              <w:t xml:space="preserve"> </w:t>
            </w:r>
            <w:r w:rsidRPr="001F7BF0">
              <w:rPr>
                <w:rFonts w:ascii="Arial Narrow" w:hAnsi="Arial Narrow" w:cs="Arial"/>
                <w:b/>
                <w:bCs/>
                <w:iCs/>
                <w:caps/>
                <w:color w:val="808080" w:themeColor="background1" w:themeShade="80"/>
                <w:sz w:val="20"/>
                <w:szCs w:val="20"/>
              </w:rPr>
              <w:t>e tasso di mortalità</w:t>
            </w:r>
            <w:r w:rsidR="004A5411" w:rsidRPr="001F7BF0">
              <w:rPr>
                <w:rFonts w:ascii="Arial Narrow" w:hAnsi="Arial Narrow" w:cs="Arial"/>
                <w:b/>
                <w:bCs/>
                <w:iCs/>
                <w:caps/>
                <w:color w:val="808080" w:themeColor="background1" w:themeShade="80"/>
                <w:sz w:val="20"/>
                <w:szCs w:val="20"/>
              </w:rPr>
              <w:t xml:space="preserve"> STANDARDIZZATO</w:t>
            </w:r>
            <w:r w:rsidR="0074109C" w:rsidRPr="001F7BF0">
              <w:rPr>
                <w:rFonts w:ascii="Arial Narrow" w:hAnsi="Arial Narrow" w:cs="Arial"/>
                <w:bCs/>
                <w:iCs/>
                <w:caps/>
                <w:color w:val="808080" w:themeColor="background1" w:themeShade="80"/>
                <w:sz w:val="20"/>
                <w:szCs w:val="20"/>
              </w:rPr>
              <w:t xml:space="preserve"> </w:t>
            </w:r>
            <w:r w:rsidRPr="001F7BF0">
              <w:rPr>
                <w:rFonts w:ascii="Arial Narrow" w:hAnsi="Arial Narrow" w:cs="Arial"/>
                <w:color w:val="808080" w:themeColor="background1" w:themeShade="80"/>
                <w:sz w:val="19"/>
                <w:szCs w:val="19"/>
              </w:rPr>
              <w:t>(asse destro, valori per 100.000 abitanti</w:t>
            </w:r>
            <w:r w:rsidR="00506E50" w:rsidRPr="001F7BF0">
              <w:rPr>
                <w:rFonts w:ascii="Arial Narrow" w:hAnsi="Arial Narrow" w:cs="Arial"/>
                <w:color w:val="808080" w:themeColor="background1" w:themeShade="80"/>
                <w:sz w:val="19"/>
                <w:szCs w:val="19"/>
              </w:rPr>
              <w:t xml:space="preserve">). </w:t>
            </w:r>
            <w:r w:rsidR="00A1310C">
              <w:rPr>
                <w:rFonts w:ascii="Arial Narrow" w:hAnsi="Arial Narrow" w:cs="Arial"/>
                <w:b/>
                <w:bCs/>
                <w:iCs/>
                <w:caps/>
                <w:color w:val="808080" w:themeColor="background1" w:themeShade="80"/>
                <w:sz w:val="20"/>
                <w:szCs w:val="20"/>
              </w:rPr>
              <w:t>BASILICATA</w:t>
            </w:r>
            <w:r w:rsidR="00F26B57" w:rsidRPr="001F7BF0">
              <w:rPr>
                <w:rFonts w:ascii="Arial Narrow" w:hAnsi="Arial Narrow" w:cs="Arial"/>
                <w:b/>
                <w:bCs/>
                <w:iCs/>
                <w:caps/>
                <w:sz w:val="20"/>
                <w:szCs w:val="20"/>
              </w:rPr>
              <w:t>.</w:t>
            </w:r>
            <w:r w:rsidR="00F26B57" w:rsidRPr="001F7BF0">
              <w:rPr>
                <w:rFonts w:ascii="Arial Narrow" w:hAnsi="Arial Narrow" w:cs="Arial"/>
                <w:sz w:val="19"/>
                <w:szCs w:val="19"/>
              </w:rPr>
              <w:t xml:space="preserve"> </w:t>
            </w:r>
            <w:r w:rsidRPr="001F7BF0">
              <w:rPr>
                <w:rFonts w:ascii="Arial Narrow" w:hAnsi="Arial Narrow" w:cs="Arial"/>
                <w:sz w:val="19"/>
                <w:szCs w:val="19"/>
              </w:rPr>
              <w:t xml:space="preserve">Anno </w:t>
            </w:r>
            <w:r w:rsidR="00057394" w:rsidRPr="001F7BF0">
              <w:rPr>
                <w:rFonts w:ascii="Arial Narrow" w:hAnsi="Arial Narrow" w:cs="Arial"/>
                <w:sz w:val="19"/>
                <w:szCs w:val="19"/>
              </w:rPr>
              <w:t>20</w:t>
            </w:r>
            <w:r w:rsidR="00357896">
              <w:rPr>
                <w:rFonts w:ascii="Arial Narrow" w:hAnsi="Arial Narrow" w:cs="Arial"/>
                <w:sz w:val="19"/>
                <w:szCs w:val="19"/>
              </w:rPr>
              <w:t>2</w:t>
            </w:r>
            <w:r w:rsidR="0058258F">
              <w:rPr>
                <w:rFonts w:ascii="Arial Narrow" w:hAnsi="Arial Narrow" w:cs="Arial"/>
                <w:sz w:val="19"/>
                <w:szCs w:val="19"/>
              </w:rPr>
              <w:t>1</w:t>
            </w:r>
          </w:p>
        </w:tc>
        <w:tc>
          <w:tcPr>
            <w:tcW w:w="5172" w:type="dxa"/>
          </w:tcPr>
          <w:p w14:paraId="7CDD49E7" w14:textId="0EA52B11" w:rsidR="00934DC0" w:rsidRPr="001F7BF0" w:rsidRDefault="004B7B1B" w:rsidP="002B13EC">
            <w:pPr>
              <w:widowControl w:val="0"/>
              <w:suppressAutoHyphens/>
              <w:rPr>
                <w:rFonts w:ascii="Arial Narrow" w:hAnsi="Arial Narrow" w:cs="Arial"/>
                <w:b/>
                <w:bCs/>
                <w:iCs/>
                <w:caps/>
                <w:color w:val="808080" w:themeColor="background1" w:themeShade="80"/>
                <w:sz w:val="20"/>
                <w:szCs w:val="20"/>
              </w:rPr>
            </w:pPr>
            <w:r w:rsidRPr="001F7BF0">
              <w:rPr>
                <w:rFonts w:ascii="Arial Narrow" w:hAnsi="Arial Narrow" w:cs="Arial"/>
                <w:b/>
                <w:bCs/>
                <w:iCs/>
                <w:caps/>
                <w:color w:val="808080" w:themeColor="background1" w:themeShade="80"/>
                <w:sz w:val="20"/>
                <w:szCs w:val="20"/>
              </w:rPr>
              <w:t xml:space="preserve">Figura </w:t>
            </w:r>
            <w:r w:rsidR="00A9331C" w:rsidRPr="001F7BF0">
              <w:rPr>
                <w:rFonts w:ascii="Arial Narrow" w:hAnsi="Arial Narrow" w:cs="Arial"/>
                <w:b/>
                <w:bCs/>
                <w:iCs/>
                <w:caps/>
                <w:color w:val="808080" w:themeColor="background1" w:themeShade="80"/>
                <w:sz w:val="20"/>
                <w:szCs w:val="20"/>
              </w:rPr>
              <w:t>9</w:t>
            </w:r>
            <w:r w:rsidR="00182EB3" w:rsidRPr="001F7BF0">
              <w:rPr>
                <w:rFonts w:ascii="Arial Narrow" w:hAnsi="Arial Narrow" w:cs="Arial"/>
                <w:b/>
                <w:bCs/>
                <w:iCs/>
                <w:caps/>
                <w:color w:val="808080" w:themeColor="background1" w:themeShade="80"/>
                <w:sz w:val="20"/>
                <w:szCs w:val="20"/>
              </w:rPr>
              <w:t>.</w:t>
            </w:r>
            <w:r w:rsidRPr="001F7BF0">
              <w:rPr>
                <w:rFonts w:ascii="Arial Narrow" w:hAnsi="Arial Narrow" w:cs="Arial"/>
                <w:b/>
                <w:bCs/>
                <w:iCs/>
                <w:caps/>
                <w:color w:val="808080" w:themeColor="background1" w:themeShade="80"/>
                <w:sz w:val="20"/>
                <w:szCs w:val="20"/>
              </w:rPr>
              <w:t xml:space="preserve"> Piramide dell</w:t>
            </w:r>
            <w:r w:rsidR="0074109C" w:rsidRPr="001F7BF0">
              <w:rPr>
                <w:rFonts w:ascii="Arial Narrow" w:hAnsi="Arial Narrow" w:cs="Arial"/>
                <w:b/>
                <w:bCs/>
                <w:iCs/>
                <w:caps/>
                <w:color w:val="808080" w:themeColor="background1" w:themeShade="80"/>
                <w:sz w:val="20"/>
                <w:szCs w:val="20"/>
              </w:rPr>
              <w:t xml:space="preserve">e </w:t>
            </w:r>
            <w:r w:rsidRPr="001F7BF0">
              <w:rPr>
                <w:rFonts w:ascii="Arial Narrow" w:hAnsi="Arial Narrow" w:cs="Arial"/>
                <w:b/>
                <w:bCs/>
                <w:iCs/>
                <w:caps/>
                <w:color w:val="808080" w:themeColor="background1" w:themeShade="80"/>
                <w:sz w:val="20"/>
                <w:szCs w:val="20"/>
              </w:rPr>
              <w:t>età dei morti per genere e categoria di utente della strada</w:t>
            </w:r>
            <w:r w:rsidR="00506E50" w:rsidRPr="001F7BF0">
              <w:rPr>
                <w:rFonts w:ascii="Arial Narrow" w:hAnsi="Arial Narrow" w:cs="Arial"/>
                <w:b/>
                <w:bCs/>
                <w:iCs/>
                <w:caps/>
                <w:color w:val="808080" w:themeColor="background1" w:themeShade="80"/>
                <w:sz w:val="20"/>
                <w:szCs w:val="20"/>
              </w:rPr>
              <w:t xml:space="preserve">. </w:t>
            </w:r>
            <w:r w:rsidR="00A1310C">
              <w:rPr>
                <w:rFonts w:ascii="Arial Narrow" w:hAnsi="Arial Narrow" w:cs="Arial"/>
                <w:b/>
                <w:bCs/>
                <w:iCs/>
                <w:caps/>
                <w:color w:val="808080" w:themeColor="background1" w:themeShade="80"/>
                <w:sz w:val="20"/>
                <w:szCs w:val="20"/>
              </w:rPr>
              <w:t>BASILICATA</w:t>
            </w:r>
            <w:r w:rsidR="00506E50" w:rsidRPr="001F7BF0">
              <w:rPr>
                <w:rFonts w:ascii="Arial Narrow" w:hAnsi="Arial Narrow" w:cs="Arial"/>
                <w:b/>
                <w:bCs/>
                <w:iCs/>
                <w:caps/>
                <w:color w:val="808080" w:themeColor="background1" w:themeShade="80"/>
                <w:sz w:val="20"/>
                <w:szCs w:val="20"/>
              </w:rPr>
              <w:t>.</w:t>
            </w:r>
          </w:p>
          <w:p w14:paraId="50691E53" w14:textId="1D5F8F70" w:rsidR="004B7B1B" w:rsidRPr="001F7BF0" w:rsidRDefault="00295F92" w:rsidP="006F29EC">
            <w:pPr>
              <w:widowControl w:val="0"/>
              <w:suppressAutoHyphens/>
              <w:rPr>
                <w:rStyle w:val="apple-style-span"/>
                <w:rFonts w:ascii="Arial" w:hAnsi="Arial" w:cs="Arial"/>
                <w:sz w:val="20"/>
                <w:szCs w:val="20"/>
                <w:highlight w:val="yellow"/>
              </w:rPr>
            </w:pPr>
            <w:r w:rsidRPr="001F7BF0">
              <w:rPr>
                <w:rFonts w:ascii="Arial Narrow" w:hAnsi="Arial Narrow" w:cs="Arial"/>
                <w:sz w:val="19"/>
                <w:szCs w:val="19"/>
              </w:rPr>
              <w:t xml:space="preserve">Anno </w:t>
            </w:r>
            <w:r w:rsidR="00057394" w:rsidRPr="001F7BF0">
              <w:rPr>
                <w:rFonts w:ascii="Arial Narrow" w:hAnsi="Arial Narrow" w:cs="Arial"/>
                <w:sz w:val="19"/>
                <w:szCs w:val="19"/>
              </w:rPr>
              <w:t>20</w:t>
            </w:r>
            <w:r w:rsidR="00357896">
              <w:rPr>
                <w:rFonts w:ascii="Arial Narrow" w:hAnsi="Arial Narrow" w:cs="Arial"/>
                <w:sz w:val="19"/>
                <w:szCs w:val="19"/>
              </w:rPr>
              <w:t>2</w:t>
            </w:r>
            <w:r w:rsidR="0058258F">
              <w:rPr>
                <w:rFonts w:ascii="Arial Narrow" w:hAnsi="Arial Narrow" w:cs="Arial"/>
                <w:sz w:val="19"/>
                <w:szCs w:val="19"/>
              </w:rPr>
              <w:t>1</w:t>
            </w:r>
            <w:r w:rsidR="004B7B1B" w:rsidRPr="001F7BF0">
              <w:rPr>
                <w:rFonts w:ascii="Arial Narrow" w:hAnsi="Arial Narrow" w:cs="Arial"/>
                <w:sz w:val="19"/>
                <w:szCs w:val="19"/>
              </w:rPr>
              <w:t>, valori assoluti</w:t>
            </w:r>
          </w:p>
        </w:tc>
      </w:tr>
    </w:tbl>
    <w:p w14:paraId="54D86A15" w14:textId="5B152F8E" w:rsidR="00917FCF" w:rsidRPr="006D5EB7" w:rsidRDefault="00917FCF" w:rsidP="005675FF">
      <w:pPr>
        <w:pBdr>
          <w:bottom w:val="single" w:sz="4" w:space="1" w:color="auto"/>
        </w:pBdr>
        <w:rPr>
          <w:rFonts w:ascii="Arial" w:hAnsi="Arial" w:cs="Arial"/>
          <w:color w:val="FF0000"/>
          <w:spacing w:val="-4"/>
          <w:sz w:val="18"/>
          <w:szCs w:val="18"/>
        </w:rPr>
      </w:pPr>
      <w:r w:rsidRPr="006D5EB7">
        <w:rPr>
          <w:noProof/>
          <w:color w:val="FF0000"/>
        </w:rPr>
        <w:t xml:space="preserve">  </w:t>
      </w:r>
      <w:r w:rsidR="00FC5637">
        <w:rPr>
          <w:noProof/>
        </w:rPr>
        <w:drawing>
          <wp:inline distT="0" distB="0" distL="0" distR="0" wp14:anchorId="44E77BE9" wp14:editId="42FE9470">
            <wp:extent cx="3031200" cy="2008800"/>
            <wp:effectExtent l="0" t="0" r="0" b="0"/>
            <wp:docPr id="29" name="Grafico 29">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0E1B8E" w:rsidRPr="006D5EB7">
        <w:rPr>
          <w:noProof/>
          <w:color w:val="FF0000"/>
        </w:rPr>
        <w:t xml:space="preserve">     </w:t>
      </w:r>
      <w:r w:rsidRPr="006D5EB7">
        <w:rPr>
          <w:noProof/>
          <w:color w:val="FF0000"/>
        </w:rPr>
        <w:t xml:space="preserve"> </w:t>
      </w:r>
      <w:r w:rsidR="00FC5637">
        <w:rPr>
          <w:noProof/>
        </w:rPr>
        <w:drawing>
          <wp:inline distT="0" distB="0" distL="0" distR="0" wp14:anchorId="56CE316D" wp14:editId="3F4B1071">
            <wp:extent cx="3060000" cy="2212950"/>
            <wp:effectExtent l="0" t="0" r="7620" b="0"/>
            <wp:docPr id="30" name="Grafico 30">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Style w:val="Grigliatabella"/>
        <w:tblW w:w="10345" w:type="dxa"/>
        <w:tblInd w:w="-14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279"/>
        <w:gridCol w:w="5066"/>
      </w:tblGrid>
      <w:tr w:rsidR="006D5EB7" w:rsidRPr="006D5EB7" w14:paraId="367A0A5D" w14:textId="77777777" w:rsidTr="001F7BF0">
        <w:trPr>
          <w:trHeight w:val="721"/>
        </w:trPr>
        <w:tc>
          <w:tcPr>
            <w:tcW w:w="5279" w:type="dxa"/>
          </w:tcPr>
          <w:p w14:paraId="0D6A8046" w14:textId="77777777" w:rsidR="004B0E90" w:rsidRPr="001F7BF0" w:rsidRDefault="004B0E90" w:rsidP="00B84964">
            <w:pPr>
              <w:widowControl w:val="0"/>
              <w:suppressAutoHyphens/>
              <w:autoSpaceDE w:val="0"/>
              <w:autoSpaceDN w:val="0"/>
              <w:adjustRightInd w:val="0"/>
              <w:rPr>
                <w:rFonts w:ascii="Arial Narrow" w:hAnsi="Arial Narrow" w:cs="Arial"/>
                <w:b/>
                <w:bCs/>
                <w:iCs/>
                <w:caps/>
                <w:sz w:val="16"/>
                <w:szCs w:val="16"/>
              </w:rPr>
            </w:pPr>
          </w:p>
          <w:p w14:paraId="49C7AC56" w14:textId="77777777" w:rsidR="00934DC0" w:rsidRPr="001F7BF0" w:rsidRDefault="002B13EC" w:rsidP="001F7BF0">
            <w:pPr>
              <w:widowControl w:val="0"/>
              <w:suppressAutoHyphens/>
              <w:autoSpaceDE w:val="0"/>
              <w:autoSpaceDN w:val="0"/>
              <w:adjustRightInd w:val="0"/>
              <w:rPr>
                <w:rFonts w:ascii="Arial Narrow" w:hAnsi="Arial Narrow" w:cs="Arial"/>
                <w:b/>
                <w:bCs/>
                <w:iCs/>
                <w:caps/>
                <w:color w:val="808080" w:themeColor="background1" w:themeShade="80"/>
                <w:sz w:val="20"/>
                <w:szCs w:val="20"/>
              </w:rPr>
            </w:pPr>
            <w:r w:rsidRPr="001F7BF0">
              <w:rPr>
                <w:rFonts w:ascii="Arial Narrow" w:hAnsi="Arial Narrow" w:cs="Arial"/>
                <w:b/>
                <w:bCs/>
                <w:iCs/>
                <w:caps/>
                <w:color w:val="808080" w:themeColor="background1" w:themeShade="80"/>
                <w:sz w:val="20"/>
                <w:szCs w:val="20"/>
              </w:rPr>
              <w:t xml:space="preserve">Figura </w:t>
            </w:r>
            <w:r w:rsidR="00A9331C" w:rsidRPr="001F7BF0">
              <w:rPr>
                <w:rFonts w:ascii="Arial Narrow" w:hAnsi="Arial Narrow" w:cs="Arial"/>
                <w:b/>
                <w:bCs/>
                <w:iCs/>
                <w:caps/>
                <w:color w:val="808080" w:themeColor="background1" w:themeShade="80"/>
                <w:sz w:val="20"/>
                <w:szCs w:val="20"/>
              </w:rPr>
              <w:t>10</w:t>
            </w:r>
            <w:r w:rsidR="00182EB3" w:rsidRPr="001F7BF0">
              <w:rPr>
                <w:rFonts w:ascii="Arial Narrow" w:hAnsi="Arial Narrow" w:cs="Arial"/>
                <w:b/>
                <w:bCs/>
                <w:iCs/>
                <w:caps/>
                <w:color w:val="808080" w:themeColor="background1" w:themeShade="80"/>
                <w:sz w:val="20"/>
                <w:szCs w:val="20"/>
              </w:rPr>
              <w:t>.</w:t>
            </w:r>
            <w:r w:rsidR="00901611" w:rsidRPr="001F7BF0">
              <w:rPr>
                <w:rFonts w:ascii="Arial Narrow" w:hAnsi="Arial Narrow" w:cs="Arial"/>
                <w:b/>
                <w:bCs/>
                <w:iCs/>
                <w:caps/>
                <w:color w:val="808080" w:themeColor="background1" w:themeShade="80"/>
                <w:sz w:val="20"/>
                <w:szCs w:val="20"/>
              </w:rPr>
              <w:t xml:space="preserve"> </w:t>
            </w:r>
            <w:r w:rsidRPr="001F7BF0">
              <w:rPr>
                <w:rFonts w:ascii="Arial Narrow" w:hAnsi="Arial Narrow" w:cs="Arial"/>
                <w:b/>
                <w:bCs/>
                <w:iCs/>
                <w:caps/>
                <w:color w:val="808080" w:themeColor="background1" w:themeShade="80"/>
                <w:sz w:val="20"/>
                <w:szCs w:val="20"/>
              </w:rPr>
              <w:t>Feriti per genere, classe di età</w:t>
            </w:r>
            <w:r w:rsidR="00901611" w:rsidRPr="001F7BF0">
              <w:rPr>
                <w:rFonts w:ascii="Arial Narrow" w:hAnsi="Arial Narrow" w:cs="Arial"/>
                <w:b/>
                <w:bCs/>
                <w:iCs/>
                <w:caps/>
                <w:color w:val="808080" w:themeColor="background1" w:themeShade="80"/>
                <w:sz w:val="20"/>
                <w:szCs w:val="20"/>
              </w:rPr>
              <w:t xml:space="preserve"> </w:t>
            </w:r>
            <w:r w:rsidRPr="001F7BF0">
              <w:rPr>
                <w:rFonts w:ascii="Arial Narrow" w:hAnsi="Arial Narrow" w:cs="Arial"/>
                <w:color w:val="808080" w:themeColor="background1" w:themeShade="80"/>
                <w:sz w:val="19"/>
                <w:szCs w:val="19"/>
              </w:rPr>
              <w:t>(asse sinistro, valori assoluti)</w:t>
            </w:r>
            <w:r w:rsidRPr="001F7BF0">
              <w:rPr>
                <w:rFonts w:ascii="Arial Narrow" w:hAnsi="Arial Narrow" w:cs="Arial"/>
                <w:b/>
                <w:bCs/>
                <w:iCs/>
                <w:caps/>
                <w:color w:val="808080" w:themeColor="background1" w:themeShade="80"/>
                <w:sz w:val="20"/>
                <w:szCs w:val="20"/>
              </w:rPr>
              <w:t>,</w:t>
            </w:r>
            <w:r w:rsidR="00901611" w:rsidRPr="001F7BF0">
              <w:rPr>
                <w:rFonts w:ascii="Arial Narrow" w:hAnsi="Arial Narrow" w:cs="Arial"/>
                <w:b/>
                <w:bCs/>
                <w:iCs/>
                <w:caps/>
                <w:color w:val="808080" w:themeColor="background1" w:themeShade="80"/>
                <w:sz w:val="20"/>
                <w:szCs w:val="20"/>
              </w:rPr>
              <w:t xml:space="preserve"> </w:t>
            </w:r>
            <w:r w:rsidRPr="001F7BF0">
              <w:rPr>
                <w:rFonts w:ascii="Arial Narrow" w:hAnsi="Arial Narrow" w:cs="Arial"/>
                <w:b/>
                <w:bCs/>
                <w:iCs/>
                <w:caps/>
                <w:color w:val="808080" w:themeColor="background1" w:themeShade="80"/>
                <w:sz w:val="20"/>
                <w:szCs w:val="20"/>
              </w:rPr>
              <w:t>e tasso di lesività</w:t>
            </w:r>
            <w:r w:rsidR="00E279D8" w:rsidRPr="001F7BF0">
              <w:rPr>
                <w:rFonts w:ascii="Arial Narrow" w:hAnsi="Arial Narrow" w:cs="Arial"/>
                <w:b/>
                <w:bCs/>
                <w:iCs/>
                <w:caps/>
                <w:color w:val="808080" w:themeColor="background1" w:themeShade="80"/>
                <w:sz w:val="20"/>
                <w:szCs w:val="20"/>
              </w:rPr>
              <w:t xml:space="preserve"> STANDARDIZZATO </w:t>
            </w:r>
          </w:p>
          <w:p w14:paraId="0C2B2DD8" w14:textId="223BB666" w:rsidR="002B13EC" w:rsidRPr="001F7BF0" w:rsidRDefault="002B13EC" w:rsidP="001F7BF0">
            <w:pPr>
              <w:widowControl w:val="0"/>
              <w:suppressAutoHyphens/>
              <w:autoSpaceDE w:val="0"/>
              <w:autoSpaceDN w:val="0"/>
              <w:adjustRightInd w:val="0"/>
              <w:rPr>
                <w:spacing w:val="-4"/>
              </w:rPr>
            </w:pPr>
            <w:r w:rsidRPr="001F7BF0">
              <w:rPr>
                <w:rFonts w:ascii="Arial Narrow" w:hAnsi="Arial Narrow" w:cs="Arial"/>
                <w:color w:val="808080" w:themeColor="background1" w:themeShade="80"/>
                <w:sz w:val="19"/>
                <w:szCs w:val="19"/>
              </w:rPr>
              <w:t>(asse destro, valori per 100.000 abitanti)</w:t>
            </w:r>
            <w:r w:rsidRPr="001F7BF0">
              <w:rPr>
                <w:rFonts w:ascii="Arial Narrow" w:hAnsi="Arial Narrow" w:cs="Arial"/>
                <w:b/>
                <w:bCs/>
                <w:iCs/>
                <w:caps/>
                <w:color w:val="808080" w:themeColor="background1" w:themeShade="80"/>
                <w:sz w:val="20"/>
                <w:szCs w:val="20"/>
              </w:rPr>
              <w:t xml:space="preserve">, </w:t>
            </w:r>
            <w:r w:rsidR="00A1310C">
              <w:rPr>
                <w:rFonts w:ascii="Arial Narrow" w:hAnsi="Arial Narrow" w:cs="Arial"/>
                <w:b/>
                <w:bCs/>
                <w:iCs/>
                <w:caps/>
                <w:color w:val="808080" w:themeColor="background1" w:themeShade="80"/>
                <w:sz w:val="20"/>
                <w:szCs w:val="20"/>
              </w:rPr>
              <w:t>BASILICATA</w:t>
            </w:r>
            <w:r w:rsidR="00F26B57" w:rsidRPr="001F7BF0">
              <w:rPr>
                <w:rFonts w:ascii="Arial Narrow" w:hAnsi="Arial Narrow" w:cs="Arial"/>
                <w:b/>
                <w:bCs/>
                <w:iCs/>
                <w:caps/>
                <w:color w:val="808080" w:themeColor="background1" w:themeShade="80"/>
                <w:sz w:val="20"/>
                <w:szCs w:val="20"/>
              </w:rPr>
              <w:t xml:space="preserve">. </w:t>
            </w:r>
            <w:r w:rsidRPr="001F7BF0">
              <w:rPr>
                <w:rFonts w:ascii="Arial Narrow" w:hAnsi="Arial Narrow" w:cs="Arial"/>
                <w:sz w:val="19"/>
                <w:szCs w:val="19"/>
              </w:rPr>
              <w:t xml:space="preserve">Anno </w:t>
            </w:r>
            <w:r w:rsidR="00057394" w:rsidRPr="001F7BF0">
              <w:rPr>
                <w:rFonts w:ascii="Arial Narrow" w:hAnsi="Arial Narrow" w:cs="Arial"/>
                <w:sz w:val="19"/>
                <w:szCs w:val="19"/>
              </w:rPr>
              <w:t>20</w:t>
            </w:r>
            <w:r w:rsidR="00357896">
              <w:rPr>
                <w:rFonts w:ascii="Arial Narrow" w:hAnsi="Arial Narrow" w:cs="Arial"/>
                <w:sz w:val="19"/>
                <w:szCs w:val="19"/>
              </w:rPr>
              <w:t>2</w:t>
            </w:r>
            <w:r w:rsidR="0058258F">
              <w:rPr>
                <w:rFonts w:ascii="Arial Narrow" w:hAnsi="Arial Narrow" w:cs="Arial"/>
                <w:sz w:val="19"/>
                <w:szCs w:val="19"/>
              </w:rPr>
              <w:t>1</w:t>
            </w:r>
          </w:p>
        </w:tc>
        <w:tc>
          <w:tcPr>
            <w:tcW w:w="5066" w:type="dxa"/>
          </w:tcPr>
          <w:p w14:paraId="6F8A7FB2" w14:textId="77777777" w:rsidR="004B0E90" w:rsidRPr="001F7BF0" w:rsidRDefault="004B0E90">
            <w:pPr>
              <w:widowControl w:val="0"/>
              <w:suppressAutoHyphens/>
              <w:autoSpaceDE w:val="0"/>
              <w:autoSpaceDN w:val="0"/>
              <w:adjustRightInd w:val="0"/>
              <w:rPr>
                <w:rFonts w:ascii="Arial Narrow" w:hAnsi="Arial Narrow" w:cs="Arial"/>
                <w:b/>
                <w:bCs/>
                <w:iCs/>
                <w:caps/>
                <w:sz w:val="16"/>
                <w:szCs w:val="16"/>
              </w:rPr>
            </w:pPr>
          </w:p>
          <w:p w14:paraId="2F51D3C4" w14:textId="452B2B21" w:rsidR="00934DC0" w:rsidRPr="001F7BF0" w:rsidRDefault="002B13EC">
            <w:pPr>
              <w:widowControl w:val="0"/>
              <w:suppressAutoHyphens/>
              <w:autoSpaceDE w:val="0"/>
              <w:autoSpaceDN w:val="0"/>
              <w:adjustRightInd w:val="0"/>
              <w:rPr>
                <w:rFonts w:ascii="Arial Narrow" w:hAnsi="Arial Narrow" w:cs="Arial"/>
                <w:b/>
                <w:bCs/>
                <w:iCs/>
                <w:caps/>
                <w:color w:val="808080" w:themeColor="background1" w:themeShade="80"/>
                <w:sz w:val="20"/>
                <w:szCs w:val="20"/>
              </w:rPr>
            </w:pPr>
            <w:r w:rsidRPr="001F7BF0">
              <w:rPr>
                <w:rFonts w:ascii="Arial Narrow" w:hAnsi="Arial Narrow" w:cs="Arial"/>
                <w:b/>
                <w:bCs/>
                <w:iCs/>
                <w:caps/>
                <w:color w:val="808080" w:themeColor="background1" w:themeShade="80"/>
                <w:sz w:val="20"/>
                <w:szCs w:val="20"/>
              </w:rPr>
              <w:t xml:space="preserve">Figura </w:t>
            </w:r>
            <w:r w:rsidR="00A9331C" w:rsidRPr="001F7BF0">
              <w:rPr>
                <w:rFonts w:ascii="Arial Narrow" w:hAnsi="Arial Narrow" w:cs="Arial"/>
                <w:b/>
                <w:bCs/>
                <w:iCs/>
                <w:caps/>
                <w:color w:val="808080" w:themeColor="background1" w:themeShade="80"/>
                <w:sz w:val="20"/>
                <w:szCs w:val="20"/>
              </w:rPr>
              <w:t>11</w:t>
            </w:r>
            <w:r w:rsidR="00182EB3" w:rsidRPr="001F7BF0">
              <w:rPr>
                <w:rFonts w:ascii="Arial Narrow" w:hAnsi="Arial Narrow" w:cs="Arial"/>
                <w:b/>
                <w:bCs/>
                <w:iCs/>
                <w:caps/>
                <w:color w:val="808080" w:themeColor="background1" w:themeShade="80"/>
                <w:sz w:val="20"/>
                <w:szCs w:val="20"/>
              </w:rPr>
              <w:t>. Piramide</w:t>
            </w:r>
            <w:r w:rsidRPr="001F7BF0">
              <w:rPr>
                <w:rFonts w:ascii="Arial Narrow" w:hAnsi="Arial Narrow" w:cs="Arial"/>
                <w:b/>
                <w:bCs/>
                <w:iCs/>
                <w:caps/>
                <w:color w:val="808080" w:themeColor="background1" w:themeShade="80"/>
                <w:sz w:val="20"/>
                <w:szCs w:val="20"/>
              </w:rPr>
              <w:t xml:space="preserve"> dell</w:t>
            </w:r>
            <w:r w:rsidR="00901611" w:rsidRPr="001F7BF0">
              <w:rPr>
                <w:rFonts w:ascii="Arial Narrow" w:hAnsi="Arial Narrow" w:cs="Arial"/>
                <w:b/>
                <w:bCs/>
                <w:iCs/>
                <w:caps/>
                <w:color w:val="808080" w:themeColor="background1" w:themeShade="80"/>
                <w:sz w:val="20"/>
                <w:szCs w:val="20"/>
              </w:rPr>
              <w:t xml:space="preserve">e </w:t>
            </w:r>
            <w:r w:rsidRPr="001F7BF0">
              <w:rPr>
                <w:rFonts w:ascii="Arial Narrow" w:hAnsi="Arial Narrow" w:cs="Arial"/>
                <w:b/>
                <w:bCs/>
                <w:iCs/>
                <w:caps/>
                <w:color w:val="808080" w:themeColor="background1" w:themeShade="80"/>
                <w:sz w:val="20"/>
                <w:szCs w:val="20"/>
              </w:rPr>
              <w:t>età dei feriti per genere e categoria di utente della strada</w:t>
            </w:r>
            <w:r w:rsidR="00506E50" w:rsidRPr="001F7BF0">
              <w:rPr>
                <w:rFonts w:ascii="Arial Narrow" w:hAnsi="Arial Narrow" w:cs="Arial"/>
                <w:b/>
                <w:bCs/>
                <w:iCs/>
                <w:caps/>
                <w:color w:val="808080" w:themeColor="background1" w:themeShade="80"/>
                <w:sz w:val="20"/>
                <w:szCs w:val="20"/>
              </w:rPr>
              <w:t xml:space="preserve">. </w:t>
            </w:r>
            <w:r w:rsidR="00A1310C">
              <w:rPr>
                <w:rFonts w:ascii="Arial Narrow" w:hAnsi="Arial Narrow" w:cs="Arial"/>
                <w:b/>
                <w:bCs/>
                <w:iCs/>
                <w:caps/>
                <w:color w:val="808080" w:themeColor="background1" w:themeShade="80"/>
                <w:sz w:val="20"/>
                <w:szCs w:val="20"/>
              </w:rPr>
              <w:t>BASILICATA</w:t>
            </w:r>
            <w:r w:rsidR="00506E50" w:rsidRPr="001F7BF0">
              <w:rPr>
                <w:rFonts w:ascii="Arial Narrow" w:hAnsi="Arial Narrow" w:cs="Arial"/>
                <w:b/>
                <w:bCs/>
                <w:iCs/>
                <w:caps/>
                <w:color w:val="808080" w:themeColor="background1" w:themeShade="80"/>
                <w:sz w:val="20"/>
                <w:szCs w:val="20"/>
              </w:rPr>
              <w:t>.</w:t>
            </w:r>
          </w:p>
          <w:p w14:paraId="7135C2AB" w14:textId="5E048D48" w:rsidR="002B13EC" w:rsidRPr="001F7BF0" w:rsidRDefault="00295F92" w:rsidP="006F29EC">
            <w:pPr>
              <w:widowControl w:val="0"/>
              <w:suppressAutoHyphens/>
              <w:autoSpaceDE w:val="0"/>
              <w:autoSpaceDN w:val="0"/>
              <w:adjustRightInd w:val="0"/>
              <w:rPr>
                <w:rFonts w:ascii="Arial" w:hAnsi="Arial" w:cs="Arial"/>
                <w:spacing w:val="-4"/>
                <w:sz w:val="18"/>
                <w:szCs w:val="18"/>
              </w:rPr>
            </w:pPr>
            <w:r w:rsidRPr="001F7BF0">
              <w:rPr>
                <w:rFonts w:ascii="Arial Narrow" w:hAnsi="Arial Narrow" w:cs="Arial"/>
                <w:sz w:val="19"/>
                <w:szCs w:val="19"/>
              </w:rPr>
              <w:t xml:space="preserve">Anno </w:t>
            </w:r>
            <w:r w:rsidR="00057394" w:rsidRPr="001F7BF0">
              <w:rPr>
                <w:rFonts w:ascii="Arial Narrow" w:hAnsi="Arial Narrow" w:cs="Arial"/>
                <w:sz w:val="19"/>
                <w:szCs w:val="19"/>
              </w:rPr>
              <w:t>20</w:t>
            </w:r>
            <w:r w:rsidR="00357896">
              <w:rPr>
                <w:rFonts w:ascii="Arial Narrow" w:hAnsi="Arial Narrow" w:cs="Arial"/>
                <w:sz w:val="19"/>
                <w:szCs w:val="19"/>
              </w:rPr>
              <w:t>2</w:t>
            </w:r>
            <w:r w:rsidR="0058258F">
              <w:rPr>
                <w:rFonts w:ascii="Arial Narrow" w:hAnsi="Arial Narrow" w:cs="Arial"/>
                <w:sz w:val="19"/>
                <w:szCs w:val="19"/>
              </w:rPr>
              <w:t>1</w:t>
            </w:r>
            <w:r w:rsidR="00D526EA" w:rsidRPr="001F7BF0">
              <w:rPr>
                <w:rFonts w:ascii="Arial Narrow" w:hAnsi="Arial Narrow" w:cs="Arial"/>
                <w:sz w:val="19"/>
                <w:szCs w:val="19"/>
              </w:rPr>
              <w:t xml:space="preserve">, </w:t>
            </w:r>
            <w:r w:rsidR="002B13EC" w:rsidRPr="001F7BF0">
              <w:rPr>
                <w:rFonts w:ascii="Arial Narrow" w:hAnsi="Arial Narrow" w:cs="Arial"/>
                <w:sz w:val="19"/>
                <w:szCs w:val="19"/>
              </w:rPr>
              <w:t>valori assoluti</w:t>
            </w:r>
          </w:p>
        </w:tc>
      </w:tr>
    </w:tbl>
    <w:p w14:paraId="02EC6F86" w14:textId="2183EFE0" w:rsidR="00336B9E" w:rsidRPr="006D5EB7" w:rsidRDefault="003F6AA0" w:rsidP="00100157">
      <w:pPr>
        <w:pBdr>
          <w:bottom w:val="single" w:sz="4" w:space="3" w:color="auto"/>
        </w:pBdr>
        <w:rPr>
          <w:rFonts w:ascii="Arial" w:hAnsi="Arial" w:cs="Arial"/>
          <w:b/>
          <w:bCs/>
          <w:color w:val="FF0000"/>
          <w:sz w:val="22"/>
          <w:szCs w:val="20"/>
        </w:rPr>
      </w:pPr>
      <w:r w:rsidRPr="006D5EB7">
        <w:rPr>
          <w:noProof/>
          <w:color w:val="FF0000"/>
        </w:rPr>
        <w:t xml:space="preserve">  </w:t>
      </w:r>
      <w:r w:rsidR="00CF40EC" w:rsidRPr="006D5EB7">
        <w:rPr>
          <w:noProof/>
          <w:color w:val="FF0000"/>
        </w:rPr>
        <w:t xml:space="preserve"> </w:t>
      </w:r>
      <w:r w:rsidR="00FC5637">
        <w:rPr>
          <w:noProof/>
        </w:rPr>
        <w:drawing>
          <wp:inline distT="0" distB="0" distL="0" distR="0" wp14:anchorId="4C9BD7BD" wp14:editId="11B05570">
            <wp:extent cx="2966400" cy="1980000"/>
            <wp:effectExtent l="0" t="0" r="5715" b="1270"/>
            <wp:docPr id="31" name="Grafico 31">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CF40EC" w:rsidRPr="006D5EB7">
        <w:rPr>
          <w:noProof/>
          <w:color w:val="FF0000"/>
        </w:rPr>
        <w:t xml:space="preserve">  </w:t>
      </w:r>
      <w:r w:rsidR="00357896">
        <w:rPr>
          <w:noProof/>
          <w:color w:val="FF0000"/>
        </w:rPr>
        <w:t xml:space="preserve">  </w:t>
      </w:r>
      <w:r w:rsidRPr="006D5EB7">
        <w:rPr>
          <w:noProof/>
          <w:color w:val="FF0000"/>
        </w:rPr>
        <w:t xml:space="preserve">   </w:t>
      </w:r>
      <w:r w:rsidR="00FC5637">
        <w:rPr>
          <w:noProof/>
        </w:rPr>
        <w:drawing>
          <wp:inline distT="0" distB="0" distL="0" distR="0" wp14:anchorId="5D961CDF" wp14:editId="62DE6F33">
            <wp:extent cx="2736086" cy="1914478"/>
            <wp:effectExtent l="0" t="0" r="7620" b="0"/>
            <wp:docPr id="32" name="Grafico 32">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1D4179C" w14:textId="1CDEAA84" w:rsidR="00A06BD7" w:rsidRDefault="00FD0133" w:rsidP="008F317B">
      <w:pPr>
        <w:spacing w:before="60"/>
        <w:rPr>
          <w:rFonts w:ascii="Arial" w:hAnsi="Arial" w:cs="Arial"/>
          <w:b/>
          <w:color w:val="000000"/>
          <w:sz w:val="20"/>
          <w:szCs w:val="20"/>
        </w:rPr>
      </w:pPr>
      <w:r w:rsidRPr="001F7BF0">
        <w:rPr>
          <w:rFonts w:ascii="Arial Narrow" w:hAnsi="Arial Narrow" w:cs="Arial"/>
          <w:sz w:val="15"/>
          <w:szCs w:val="15"/>
        </w:rPr>
        <w:t>(b)</w:t>
      </w:r>
      <w:r w:rsidR="00BC5470" w:rsidRPr="001F7BF0">
        <w:rPr>
          <w:rFonts w:ascii="Arial Narrow" w:hAnsi="Arial Narrow" w:cs="Arial"/>
          <w:sz w:val="15"/>
          <w:szCs w:val="15"/>
        </w:rPr>
        <w:t xml:space="preserve"> </w:t>
      </w:r>
      <w:r w:rsidR="00B836DD" w:rsidRPr="001F7BF0">
        <w:rPr>
          <w:rFonts w:ascii="Arial Narrow" w:hAnsi="Arial Narrow" w:cs="Arial"/>
          <w:sz w:val="15"/>
          <w:szCs w:val="15"/>
        </w:rPr>
        <w:t>Nelle figure è stata eliminata la modalità "età imprecisata", riferita ai passeggeri morti o feriti sugli altri veicoli coinvolti oltre il terzo. Per questi individui, dei quali si conosce solo l’esito e la numerosità, non si rilevano, infatti, le caratteristiche anagrafiche, tra cui l’età.</w:t>
      </w:r>
      <w:r w:rsidR="00A06BD7">
        <w:rPr>
          <w:rFonts w:ascii="Arial" w:hAnsi="Arial" w:cs="Arial"/>
          <w:b/>
          <w:color w:val="000000"/>
          <w:sz w:val="20"/>
          <w:szCs w:val="20"/>
        </w:rPr>
        <w:br w:type="page"/>
      </w:r>
    </w:p>
    <w:p w14:paraId="009AA660" w14:textId="77777777" w:rsidR="00A06BD7" w:rsidRDefault="00A06BD7" w:rsidP="00F54AC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ascii="Arial" w:hAnsi="Arial" w:cs="Arial"/>
          <w:b/>
          <w:color w:val="000000"/>
          <w:sz w:val="20"/>
          <w:szCs w:val="20"/>
        </w:rPr>
      </w:pPr>
    </w:p>
    <w:p w14:paraId="298720A4" w14:textId="26DE8654" w:rsidR="00F54AC8" w:rsidRDefault="00F54AC8" w:rsidP="00F54AC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ascii="Arial" w:hAnsi="Arial" w:cs="Arial"/>
          <w:b/>
          <w:color w:val="000000"/>
          <w:sz w:val="20"/>
          <w:szCs w:val="20"/>
        </w:rPr>
      </w:pPr>
      <w:r>
        <w:rPr>
          <w:rFonts w:ascii="Arial" w:hAnsi="Arial" w:cs="Arial"/>
          <w:b/>
          <w:color w:val="000000"/>
          <w:sz w:val="20"/>
          <w:szCs w:val="20"/>
        </w:rPr>
        <w:t>Glossario</w:t>
      </w:r>
    </w:p>
    <w:p w14:paraId="591598CE" w14:textId="2B0CEA59" w:rsidR="00F54AC8" w:rsidRPr="00F54AC8" w:rsidRDefault="00F54AC8" w:rsidP="00F54AC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ascii="Arial" w:hAnsi="Arial" w:cs="Arial"/>
          <w:b/>
          <w:color w:val="000000"/>
          <w:sz w:val="20"/>
          <w:szCs w:val="20"/>
        </w:rPr>
      </w:pPr>
      <w:r w:rsidRPr="00F54AC8">
        <w:rPr>
          <w:rFonts w:ascii="Arial" w:hAnsi="Arial" w:cs="Arial"/>
          <w:b/>
          <w:color w:val="000000"/>
          <w:sz w:val="20"/>
          <w:szCs w:val="20"/>
        </w:rPr>
        <w:t>Aree Interne:</w:t>
      </w:r>
      <w:r w:rsidRPr="00F54AC8">
        <w:rPr>
          <w:rFonts w:ascii="Arial" w:hAnsi="Arial" w:cs="Arial"/>
          <w:szCs w:val="20"/>
        </w:rPr>
        <w:t xml:space="preserve"> </w:t>
      </w:r>
      <w:r w:rsidRPr="00F54AC8">
        <w:rPr>
          <w:rFonts w:ascii="Arial" w:hAnsi="Arial" w:cs="Arial"/>
          <w:color w:val="000000"/>
          <w:sz w:val="20"/>
          <w:szCs w:val="20"/>
        </w:rPr>
        <w:t>aree significativamente distanti dai centri di offerta di servizi essenziali (di istruzione, salute e mobilità), ricche di importanti risorse ambientali e culturali e fortemente diversificate per natura e per effetto di secolari processi di antropizzazione.</w:t>
      </w:r>
    </w:p>
    <w:p w14:paraId="2C93EC7B" w14:textId="77777777" w:rsidR="00F54AC8" w:rsidRPr="00F54AC8" w:rsidRDefault="00F54AC8" w:rsidP="00F54AC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ascii="Arial" w:hAnsi="Arial" w:cs="Arial"/>
          <w:color w:val="000000"/>
          <w:sz w:val="20"/>
          <w:szCs w:val="20"/>
        </w:rPr>
      </w:pPr>
      <w:r w:rsidRPr="00F54AC8">
        <w:rPr>
          <w:rFonts w:ascii="Arial" w:hAnsi="Arial" w:cs="Arial"/>
          <w:b/>
          <w:color w:val="000000"/>
          <w:sz w:val="20"/>
          <w:szCs w:val="20"/>
        </w:rPr>
        <w:t xml:space="preserve">Autostrada: </w:t>
      </w:r>
      <w:r w:rsidRPr="00F54AC8">
        <w:rPr>
          <w:rFonts w:ascii="Arial" w:hAnsi="Arial" w:cs="Arial"/>
          <w:color w:val="000000"/>
          <w:sz w:val="20"/>
          <w:szCs w:val="20"/>
        </w:rPr>
        <w:t xml:space="preserve">strada extraurbana o urbana a carreggiate indipendenti o separate da spartitraffico invalicabile, ciascuna con almeno due corsie di marcia, eventuale banchina pavimentata a sinistra e corsia di emergenza o banchina pavimentata a destra, priva di intersezioni a raso e di accessi privati, dotata di recinzione e di sistemi di assistenza all'utente lungo l'intero tracciato, riservata alla circolazione di talune categorie di veicoli a motore e contraddistinta da appositi segnali di inizio e fine. </w:t>
      </w:r>
    </w:p>
    <w:p w14:paraId="41E3F5C3" w14:textId="77777777" w:rsidR="00F54AC8" w:rsidRPr="00F54AC8" w:rsidRDefault="00F54AC8" w:rsidP="00F54AC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ascii="Arial" w:hAnsi="Arial"/>
          <w:sz w:val="20"/>
          <w:szCs w:val="20"/>
        </w:rPr>
      </w:pPr>
      <w:r w:rsidRPr="00F54AC8">
        <w:rPr>
          <w:rFonts w:ascii="Arial" w:hAnsi="Arial"/>
          <w:b/>
          <w:sz w:val="20"/>
          <w:szCs w:val="20"/>
        </w:rPr>
        <w:t xml:space="preserve">CARE database: </w:t>
      </w:r>
      <w:r w:rsidRPr="00F54AC8">
        <w:rPr>
          <w:rFonts w:ascii="Arial" w:hAnsi="Arial"/>
          <w:i/>
          <w:sz w:val="20"/>
          <w:szCs w:val="20"/>
        </w:rPr>
        <w:t>Community Road Accidents Database</w:t>
      </w:r>
      <w:r w:rsidRPr="00F54AC8">
        <w:rPr>
          <w:rFonts w:ascii="Arial" w:hAnsi="Arial"/>
          <w:sz w:val="20"/>
          <w:szCs w:val="20"/>
        </w:rPr>
        <w:t>: banca di dati comunitaria sugli incidenti stradali con lesioni a persone (Direttiva 93/704/CE)</w:t>
      </w:r>
    </w:p>
    <w:p w14:paraId="615813D4" w14:textId="77777777" w:rsidR="00F54AC8" w:rsidRPr="00F54AC8" w:rsidRDefault="00F54AC8" w:rsidP="00F54AC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ascii="Arial" w:hAnsi="Arial" w:cs="Arial"/>
          <w:color w:val="000000"/>
          <w:sz w:val="20"/>
          <w:szCs w:val="20"/>
        </w:rPr>
      </w:pPr>
      <w:r w:rsidRPr="00F54AC8">
        <w:rPr>
          <w:rFonts w:ascii="Arial" w:hAnsi="Arial"/>
          <w:b/>
          <w:bCs/>
          <w:sz w:val="20"/>
          <w:szCs w:val="20"/>
        </w:rPr>
        <w:t xml:space="preserve">Costi sociali per incidentalità stradale: </w:t>
      </w:r>
      <w:r w:rsidRPr="00F54AC8">
        <w:rPr>
          <w:rFonts w:ascii="Arial" w:hAnsi="Arial" w:cs="Arial"/>
          <w:color w:val="000000"/>
          <w:sz w:val="20"/>
          <w:szCs w:val="20"/>
        </w:rPr>
        <w:t>I costi sociali degli incidenti stradali costituiscono una stima del danno economico subito dalla società a causa di tali eventi. Il danno economico non è rappresentato da una spesa diretta sostenuta dalla società, ma è la quantificazione economica degli oneri che, a diverso titolo, gravano sulla stessa a seguito delle conseguenze causate da un incidente stradale.</w:t>
      </w:r>
    </w:p>
    <w:p w14:paraId="0AFD8BA1" w14:textId="77777777" w:rsidR="00F54AC8" w:rsidRPr="00F54AC8" w:rsidRDefault="00F54AC8" w:rsidP="00F54AC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ascii="Arial" w:hAnsi="Arial"/>
          <w:sz w:val="20"/>
          <w:szCs w:val="20"/>
        </w:rPr>
      </w:pPr>
      <w:r w:rsidRPr="00F54AC8">
        <w:rPr>
          <w:rFonts w:ascii="Arial" w:hAnsi="Arial"/>
          <w:b/>
          <w:sz w:val="20"/>
          <w:szCs w:val="20"/>
        </w:rPr>
        <w:t xml:space="preserve">Bicicletta (o velocipede): </w:t>
      </w:r>
      <w:r w:rsidRPr="00F54AC8">
        <w:rPr>
          <w:rFonts w:ascii="Arial" w:hAnsi="Arial"/>
          <w:sz w:val="20"/>
          <w:szCs w:val="20"/>
        </w:rPr>
        <w:t>Veicolo con due o più ruote funzionante a propulsione esclusivamente muscolare, per mezzo di pedali o di analoghi dispositivi, azionato dalle persone che si trovano sul veicolo.</w:t>
      </w:r>
    </w:p>
    <w:p w14:paraId="3BE24A46" w14:textId="77777777" w:rsidR="00F54AC8" w:rsidRPr="00F54AC8" w:rsidRDefault="00F54AC8" w:rsidP="00F54AC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ascii="Arial" w:hAnsi="Arial"/>
          <w:sz w:val="20"/>
          <w:szCs w:val="20"/>
        </w:rPr>
      </w:pPr>
      <w:r w:rsidRPr="00F54AC8">
        <w:rPr>
          <w:rFonts w:ascii="Arial" w:hAnsi="Arial"/>
          <w:b/>
          <w:sz w:val="20"/>
          <w:szCs w:val="20"/>
        </w:rPr>
        <w:t xml:space="preserve">Monopattino elettrico: </w:t>
      </w:r>
      <w:r w:rsidRPr="00F54AC8">
        <w:rPr>
          <w:rFonts w:ascii="Arial" w:hAnsi="Arial"/>
          <w:sz w:val="20"/>
          <w:szCs w:val="20"/>
        </w:rPr>
        <w:t xml:space="preserve">equiparato a velocipede, veicolo con potenza massima 500 W e con limiti di velocità 6 km/h o 30 km/h al variare delle aree dove circolano (comma 75 della Legge di bilancio 2020 DL </w:t>
      </w:r>
      <w:r w:rsidRPr="00F54AC8">
        <w:rPr>
          <w:rFonts w:ascii="Arial" w:hAnsi="Arial" w:cs="Arial"/>
          <w:color w:val="222222"/>
          <w:sz w:val="21"/>
          <w:szCs w:val="21"/>
        </w:rPr>
        <w:t>160/2019</w:t>
      </w:r>
      <w:r w:rsidRPr="00F54AC8">
        <w:rPr>
          <w:rFonts w:ascii="Arial" w:hAnsi="Arial"/>
          <w:sz w:val="20"/>
          <w:szCs w:val="20"/>
        </w:rPr>
        <w:t>).</w:t>
      </w:r>
    </w:p>
    <w:p w14:paraId="73482E67" w14:textId="77777777" w:rsidR="00F54AC8" w:rsidRPr="00F54AC8" w:rsidRDefault="00F54AC8" w:rsidP="00F54AC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ascii="Arial" w:hAnsi="Arial"/>
          <w:b/>
          <w:sz w:val="20"/>
          <w:szCs w:val="20"/>
        </w:rPr>
      </w:pPr>
      <w:r w:rsidRPr="00F54AC8">
        <w:rPr>
          <w:rFonts w:ascii="Arial" w:hAnsi="Arial"/>
          <w:b/>
          <w:sz w:val="20"/>
          <w:szCs w:val="20"/>
        </w:rPr>
        <w:t xml:space="preserve">Ciclomotore: </w:t>
      </w:r>
      <w:r w:rsidRPr="00F54AC8">
        <w:rPr>
          <w:rFonts w:ascii="Arial" w:hAnsi="Arial"/>
          <w:sz w:val="20"/>
          <w:szCs w:val="20"/>
        </w:rPr>
        <w:t>Il veicolo a motore a due o tre ruote, di cilindrata inferiore o uguale a 50 cc, se termico, e con capacità di sviluppare su strada orizzontale una velocità fino a 45 km/h.</w:t>
      </w:r>
    </w:p>
    <w:p w14:paraId="3329107E" w14:textId="77777777" w:rsidR="00F54AC8" w:rsidRPr="00F54AC8" w:rsidRDefault="00F54AC8" w:rsidP="00F54AC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ascii="Arial" w:hAnsi="Arial" w:cs="Arial"/>
          <w:sz w:val="20"/>
          <w:szCs w:val="20"/>
        </w:rPr>
      </w:pPr>
      <w:r w:rsidRPr="00F54AC8">
        <w:rPr>
          <w:rFonts w:ascii="Arial" w:hAnsi="Arial" w:cs="Arial"/>
          <w:b/>
          <w:sz w:val="20"/>
          <w:szCs w:val="20"/>
        </w:rPr>
        <w:t xml:space="preserve">Feriti: </w:t>
      </w:r>
      <w:r w:rsidRPr="00F54AC8">
        <w:rPr>
          <w:rFonts w:ascii="Arial" w:hAnsi="Arial" w:cs="Arial"/>
          <w:sz w:val="20"/>
          <w:szCs w:val="20"/>
        </w:rPr>
        <w:t>Individui coinvolti in incidenti stradali che hanno subito lesioni.</w:t>
      </w:r>
    </w:p>
    <w:p w14:paraId="496A7AFA" w14:textId="77777777" w:rsidR="00F54AC8" w:rsidRPr="00F54AC8" w:rsidRDefault="00F54AC8" w:rsidP="00F54AC8">
      <w:pPr>
        <w:widowControl w:val="0"/>
        <w:spacing w:after="120"/>
        <w:jc w:val="both"/>
        <w:rPr>
          <w:rFonts w:ascii="Arial" w:hAnsi="Arial" w:cs="Arial"/>
          <w:sz w:val="20"/>
          <w:szCs w:val="20"/>
        </w:rPr>
      </w:pPr>
      <w:r w:rsidRPr="00F54AC8">
        <w:rPr>
          <w:rFonts w:ascii="Arial" w:hAnsi="Arial" w:cs="Arial"/>
          <w:b/>
          <w:sz w:val="20"/>
          <w:szCs w:val="20"/>
        </w:rPr>
        <w:t>Feriti gravi:</w:t>
      </w:r>
      <w:r w:rsidRPr="00F54AC8">
        <w:rPr>
          <w:rFonts w:ascii="Comic Sans MS" w:hAnsi="Comic Sans MS"/>
          <w:b/>
          <w:sz w:val="20"/>
          <w:szCs w:val="20"/>
        </w:rPr>
        <w:t xml:space="preserve"> </w:t>
      </w:r>
      <w:r w:rsidRPr="00F54AC8">
        <w:rPr>
          <w:rFonts w:ascii="Arial" w:hAnsi="Arial" w:cs="Arial"/>
          <w:sz w:val="20"/>
          <w:szCs w:val="20"/>
        </w:rPr>
        <w:t>Il ferito grave si identifica con un livello MAIS3+ (Scala dei traumi “</w:t>
      </w:r>
      <w:r w:rsidRPr="00F54AC8">
        <w:rPr>
          <w:rFonts w:ascii="Arial" w:hAnsi="Arial" w:cs="Arial"/>
          <w:i/>
          <w:sz w:val="20"/>
          <w:szCs w:val="20"/>
        </w:rPr>
        <w:t xml:space="preserve">Maximum </w:t>
      </w:r>
      <w:proofErr w:type="spellStart"/>
      <w:r w:rsidRPr="00F54AC8">
        <w:rPr>
          <w:rFonts w:ascii="Arial" w:hAnsi="Arial" w:cs="Arial"/>
          <w:i/>
          <w:sz w:val="20"/>
          <w:szCs w:val="20"/>
        </w:rPr>
        <w:t>Abbreviated</w:t>
      </w:r>
      <w:proofErr w:type="spellEnd"/>
      <w:r w:rsidRPr="00F54AC8">
        <w:rPr>
          <w:rFonts w:ascii="Arial" w:hAnsi="Arial" w:cs="Arial"/>
          <w:i/>
          <w:sz w:val="20"/>
          <w:szCs w:val="20"/>
        </w:rPr>
        <w:t xml:space="preserve"> </w:t>
      </w:r>
      <w:proofErr w:type="spellStart"/>
      <w:r w:rsidRPr="00F54AC8">
        <w:rPr>
          <w:rFonts w:ascii="Arial" w:hAnsi="Arial" w:cs="Arial"/>
          <w:i/>
          <w:sz w:val="20"/>
          <w:szCs w:val="20"/>
        </w:rPr>
        <w:t>Injury</w:t>
      </w:r>
      <w:proofErr w:type="spellEnd"/>
      <w:r w:rsidRPr="00F54AC8">
        <w:rPr>
          <w:rFonts w:ascii="Arial" w:hAnsi="Arial" w:cs="Arial"/>
          <w:i/>
          <w:sz w:val="20"/>
          <w:szCs w:val="20"/>
        </w:rPr>
        <w:t xml:space="preserve"> Scale</w:t>
      </w:r>
      <w:r w:rsidRPr="00F54AC8">
        <w:rPr>
          <w:rFonts w:ascii="Arial" w:hAnsi="Arial" w:cs="Arial"/>
          <w:sz w:val="20"/>
          <w:szCs w:val="20"/>
        </w:rPr>
        <w:t>” MAIS). Il livello di gravità viene misurato mediante una scala ordinale a 6 livelli. Le lesioni gravi sono individuate con il punteggio uguale o superiore a 3.</w:t>
      </w:r>
    </w:p>
    <w:p w14:paraId="14FCB46C" w14:textId="77777777" w:rsidR="00F54AC8" w:rsidRPr="00F54AC8" w:rsidRDefault="00F54AC8" w:rsidP="00F54AC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ascii="Arial" w:hAnsi="Arial" w:cs="Arial"/>
          <w:sz w:val="20"/>
          <w:szCs w:val="20"/>
        </w:rPr>
      </w:pPr>
      <w:r w:rsidRPr="00F54AC8">
        <w:rPr>
          <w:rFonts w:ascii="Arial" w:hAnsi="Arial" w:cs="Arial"/>
          <w:b/>
          <w:sz w:val="20"/>
          <w:szCs w:val="20"/>
        </w:rPr>
        <w:t xml:space="preserve">Incidente stradale: </w:t>
      </w:r>
      <w:r w:rsidRPr="00F54AC8">
        <w:rPr>
          <w:rFonts w:ascii="Arial" w:hAnsi="Arial" w:cs="Arial"/>
          <w:sz w:val="20"/>
          <w:szCs w:val="20"/>
        </w:rPr>
        <w:t xml:space="preserve">La Convenzione di Vienna del 1968 definisce l’incidente stradale come il fatto verificatosi nelle vie o piazze aperte alla circolazione nel quale risultano coinvolti veicoli fermi o in movimento e dal quale siano derivate lesioni a persone. </w:t>
      </w:r>
    </w:p>
    <w:p w14:paraId="3DA2406B" w14:textId="77777777" w:rsidR="00F54AC8" w:rsidRPr="00F54AC8" w:rsidRDefault="00F54AC8" w:rsidP="00F54AC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ascii="Arial" w:hAnsi="Arial" w:cs="Arial"/>
          <w:sz w:val="20"/>
          <w:szCs w:val="20"/>
        </w:rPr>
      </w:pPr>
      <w:bookmarkStart w:id="4" w:name="_Hlk119574755"/>
      <w:r w:rsidRPr="00F54AC8">
        <w:rPr>
          <w:rFonts w:ascii="Arial" w:hAnsi="Arial" w:cs="Arial"/>
          <w:b/>
          <w:bCs/>
          <w:sz w:val="20"/>
          <w:szCs w:val="20"/>
        </w:rPr>
        <w:t>Indice di gravità</w:t>
      </w:r>
      <w:bookmarkEnd w:id="4"/>
      <w:r w:rsidRPr="00F54AC8">
        <w:rPr>
          <w:rFonts w:ascii="Arial" w:hAnsi="Arial" w:cs="Arial"/>
          <w:b/>
          <w:bCs/>
          <w:sz w:val="20"/>
          <w:szCs w:val="20"/>
        </w:rPr>
        <w:t xml:space="preserve"> stradale</w:t>
      </w:r>
      <w:r w:rsidRPr="00F54AC8">
        <w:rPr>
          <w:rFonts w:ascii="Arial" w:hAnsi="Arial" w:cs="Arial"/>
          <w:sz w:val="20"/>
          <w:szCs w:val="20"/>
        </w:rPr>
        <w:t>: Rapporto tra il numero di morti e la somma di morti e feriti, moltiplicato per 100</w:t>
      </w:r>
    </w:p>
    <w:p w14:paraId="148E10A8" w14:textId="77777777" w:rsidR="00F54AC8" w:rsidRPr="00F54AC8" w:rsidRDefault="00F54AC8" w:rsidP="00F54AC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ascii="Arial" w:hAnsi="Arial" w:cs="Arial"/>
          <w:sz w:val="20"/>
          <w:szCs w:val="20"/>
        </w:rPr>
      </w:pPr>
      <w:bookmarkStart w:id="5" w:name="_Hlk119574856"/>
      <w:r w:rsidRPr="00F54AC8">
        <w:rPr>
          <w:rFonts w:ascii="Arial" w:hAnsi="Arial" w:cs="Arial"/>
          <w:b/>
          <w:bCs/>
          <w:sz w:val="20"/>
          <w:szCs w:val="20"/>
        </w:rPr>
        <w:t xml:space="preserve">Indice di lesività stradale: </w:t>
      </w:r>
      <w:r w:rsidRPr="00F54AC8">
        <w:rPr>
          <w:rFonts w:ascii="Arial" w:hAnsi="Arial" w:cs="Arial"/>
          <w:sz w:val="20"/>
          <w:szCs w:val="20"/>
        </w:rPr>
        <w:t>Rapporto tra il numero di feriti e il numero di incidenti con lesioni a persone, moltiplicato per 100</w:t>
      </w:r>
    </w:p>
    <w:bookmarkEnd w:id="5"/>
    <w:p w14:paraId="2921B0F5" w14:textId="77777777" w:rsidR="00F54AC8" w:rsidRPr="00F54AC8" w:rsidRDefault="00F54AC8" w:rsidP="00F54AC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ascii="Arial" w:hAnsi="Arial" w:cs="Arial"/>
          <w:sz w:val="20"/>
          <w:szCs w:val="20"/>
        </w:rPr>
      </w:pPr>
      <w:r w:rsidRPr="00F54AC8">
        <w:rPr>
          <w:rFonts w:ascii="Arial" w:hAnsi="Arial" w:cs="Arial"/>
          <w:b/>
          <w:bCs/>
          <w:sz w:val="20"/>
          <w:szCs w:val="20"/>
        </w:rPr>
        <w:t xml:space="preserve">Indice di mortalità stradale: </w:t>
      </w:r>
      <w:r w:rsidRPr="00F54AC8">
        <w:rPr>
          <w:rFonts w:ascii="Arial" w:hAnsi="Arial" w:cs="Arial"/>
          <w:sz w:val="20"/>
          <w:szCs w:val="20"/>
        </w:rPr>
        <w:t>Rapporto tra il numero di morti e il numero di incidenti con lesioni a persone, moltiplicato per 100</w:t>
      </w:r>
    </w:p>
    <w:p w14:paraId="0C8E7C20" w14:textId="77777777" w:rsidR="00F54AC8" w:rsidRPr="00F54AC8" w:rsidRDefault="00F54AC8" w:rsidP="00F54AC8">
      <w:pPr>
        <w:rPr>
          <w:rFonts w:ascii="Arial" w:hAnsi="Arial"/>
          <w:b/>
          <w:sz w:val="20"/>
          <w:szCs w:val="20"/>
        </w:rPr>
      </w:pPr>
      <w:r w:rsidRPr="00F54AC8">
        <w:rPr>
          <w:rFonts w:ascii="Arial" w:hAnsi="Arial" w:cs="Arial"/>
          <w:b/>
          <w:sz w:val="20"/>
          <w:szCs w:val="20"/>
        </w:rPr>
        <w:t xml:space="preserve">Morti: </w:t>
      </w:r>
      <w:r w:rsidRPr="00F54AC8">
        <w:rPr>
          <w:rFonts w:ascii="Arial" w:hAnsi="Arial" w:cs="Arial"/>
          <w:sz w:val="20"/>
          <w:szCs w:val="20"/>
        </w:rPr>
        <w:t>Sono definiti come il numero di persone decedute sul colpo o entro il trentesimo giorno a partire da quello in cui si è verificato l’incidente. Tale definizione è stata adottata a decorrere dal 1° gennaio 1999 mentre nel passato (fino al 31 dicembre 1998) erano considerati solo i decessi avvenuti entro sette giorni dal momento del sinistro stradale.</w:t>
      </w:r>
    </w:p>
    <w:p w14:paraId="513C984A" w14:textId="77777777" w:rsidR="00F54AC8" w:rsidRPr="00F54AC8" w:rsidRDefault="00F54AC8" w:rsidP="00F54AC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ascii="Arial" w:hAnsi="Arial" w:cs="Arial"/>
          <w:sz w:val="20"/>
          <w:szCs w:val="20"/>
        </w:rPr>
      </w:pPr>
      <w:r w:rsidRPr="00F54AC8">
        <w:rPr>
          <w:rFonts w:ascii="Arial" w:hAnsi="Arial"/>
          <w:b/>
          <w:sz w:val="20"/>
          <w:szCs w:val="20"/>
        </w:rPr>
        <w:t xml:space="preserve">Motociclo: </w:t>
      </w:r>
      <w:r w:rsidRPr="00F54AC8">
        <w:rPr>
          <w:rFonts w:ascii="Arial" w:hAnsi="Arial" w:cs="Arial"/>
          <w:sz w:val="20"/>
          <w:szCs w:val="20"/>
        </w:rPr>
        <w:t>Il veicolo a motore a due ruote di cilindrata superiore a 50 cc, destinato al trasporto di persone, in numero non superiore a due compreso il conducente.</w:t>
      </w:r>
    </w:p>
    <w:p w14:paraId="1CAB1F5C" w14:textId="77777777" w:rsidR="00F54AC8" w:rsidRPr="00F54AC8" w:rsidRDefault="00F54AC8" w:rsidP="00F54AC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ascii="Arial" w:hAnsi="Arial" w:cs="Arial"/>
          <w:sz w:val="20"/>
          <w:szCs w:val="20"/>
        </w:rPr>
      </w:pPr>
      <w:r w:rsidRPr="00F54AC8">
        <w:rPr>
          <w:rFonts w:ascii="Arial" w:hAnsi="Arial" w:cs="Arial"/>
          <w:b/>
          <w:sz w:val="20"/>
          <w:szCs w:val="20"/>
        </w:rPr>
        <w:t xml:space="preserve">Polo/Polo intercomunale: </w:t>
      </w:r>
      <w:r w:rsidRPr="00F54AC8">
        <w:rPr>
          <w:rFonts w:ascii="Arial" w:hAnsi="Arial" w:cs="Arial"/>
          <w:sz w:val="20"/>
          <w:szCs w:val="20"/>
        </w:rPr>
        <w:t>Comune/gruppo di Comuni contigui che soddisfano i criteri di presenza dei servizi essenziali relativamente a sanità, istruzione e mobilità.</w:t>
      </w:r>
    </w:p>
    <w:p w14:paraId="6BDEC30B" w14:textId="77777777" w:rsidR="00F54AC8" w:rsidRPr="00F54AC8" w:rsidRDefault="00F54AC8" w:rsidP="00F54AC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ascii="Arial" w:hAnsi="Arial"/>
          <w:b/>
          <w:sz w:val="20"/>
          <w:szCs w:val="20"/>
        </w:rPr>
      </w:pPr>
      <w:r w:rsidRPr="00F54AC8">
        <w:rPr>
          <w:rFonts w:ascii="Arial" w:hAnsi="Arial" w:cs="Arial"/>
          <w:b/>
          <w:sz w:val="20"/>
          <w:szCs w:val="20"/>
        </w:rPr>
        <w:t xml:space="preserve">Rapporto tra feriti gravi e morti in incidente stradale: </w:t>
      </w:r>
      <w:r w:rsidRPr="00F54AC8">
        <w:rPr>
          <w:rFonts w:ascii="Arial" w:hAnsi="Arial" w:cs="Arial"/>
          <w:sz w:val="20"/>
          <w:szCs w:val="20"/>
        </w:rPr>
        <w:t>indicatore utilizzato per misurare il numero di feriti gravi per ogni decesso avvenuto per incidente stradale.</w:t>
      </w:r>
    </w:p>
    <w:p w14:paraId="5BED66CB" w14:textId="77777777" w:rsidR="00F54AC8" w:rsidRPr="00F54AC8" w:rsidRDefault="00F54AC8" w:rsidP="00F54AC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ascii="Arial" w:hAnsi="Arial" w:cs="Arial"/>
          <w:sz w:val="20"/>
          <w:szCs w:val="20"/>
        </w:rPr>
      </w:pPr>
      <w:r w:rsidRPr="00F54AC8">
        <w:rPr>
          <w:rFonts w:ascii="Arial" w:hAnsi="Arial" w:cs="Arial"/>
          <w:b/>
          <w:sz w:val="20"/>
          <w:szCs w:val="20"/>
        </w:rPr>
        <w:t xml:space="preserve">Rete stradale: </w:t>
      </w:r>
      <w:r w:rsidRPr="00F54AC8">
        <w:rPr>
          <w:rFonts w:ascii="Arial" w:hAnsi="Arial" w:cs="Arial"/>
          <w:sz w:val="20"/>
          <w:szCs w:val="20"/>
        </w:rPr>
        <w:t>L’insieme di tronchi e nodi di vie di comunicazione essenzialmente destinate alla circolazione delle persone, degli animali e dei veicoli terrestri a guida libera.</w:t>
      </w:r>
    </w:p>
    <w:p w14:paraId="3D8D65DE" w14:textId="77777777" w:rsidR="00F54AC8" w:rsidRPr="00F54AC8" w:rsidRDefault="00F54AC8" w:rsidP="00F54AC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ascii="Arial" w:hAnsi="Arial" w:cs="Arial"/>
          <w:color w:val="000000"/>
          <w:sz w:val="20"/>
          <w:szCs w:val="20"/>
        </w:rPr>
      </w:pPr>
      <w:r w:rsidRPr="00F54AC8">
        <w:rPr>
          <w:rFonts w:ascii="Arial" w:hAnsi="Arial" w:cs="Arial"/>
          <w:b/>
          <w:color w:val="000000"/>
          <w:sz w:val="20"/>
          <w:szCs w:val="20"/>
        </w:rPr>
        <w:t xml:space="preserve">Strada extraurbana principale: </w:t>
      </w:r>
      <w:r w:rsidRPr="00F54AC8">
        <w:rPr>
          <w:rFonts w:ascii="Arial" w:hAnsi="Arial" w:cs="Arial"/>
          <w:color w:val="000000"/>
          <w:sz w:val="20"/>
          <w:szCs w:val="20"/>
        </w:rPr>
        <w:t>strada a carreggiate indipendenti o separate da spartitraffico invalicabile, ciascuna con almeno due corsie di marcia e banchina pavimentata a destra, priva di intersezioni a raso, con accessi alle proprietà laterali coordinati, contraddistinta dagli appositi segnali di inizio e fine, riservata alla circolazione di talune categorie di veicoli a motore.</w:t>
      </w:r>
    </w:p>
    <w:p w14:paraId="7489D39B" w14:textId="77777777" w:rsidR="00F54AC8" w:rsidRPr="00F54AC8" w:rsidRDefault="00F54AC8" w:rsidP="00F54AC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ascii="Arial" w:hAnsi="Arial" w:cs="Arial"/>
          <w:color w:val="000000"/>
          <w:sz w:val="20"/>
          <w:szCs w:val="20"/>
        </w:rPr>
      </w:pPr>
      <w:r w:rsidRPr="00F54AC8">
        <w:rPr>
          <w:rFonts w:ascii="Arial" w:hAnsi="Arial" w:cs="Arial"/>
          <w:b/>
          <w:color w:val="000000"/>
          <w:sz w:val="20"/>
          <w:szCs w:val="20"/>
        </w:rPr>
        <w:t>Strada extraurbana secondaria:</w:t>
      </w:r>
      <w:r w:rsidRPr="00F54AC8">
        <w:rPr>
          <w:rFonts w:ascii="Arial" w:hAnsi="Arial" w:cs="Arial"/>
          <w:color w:val="000000"/>
          <w:sz w:val="20"/>
          <w:szCs w:val="20"/>
        </w:rPr>
        <w:t xml:space="preserve"> strada ad unica carreggiata con almeno una corsia per senso di marcia e banchine. </w:t>
      </w:r>
    </w:p>
    <w:p w14:paraId="0CCF8C6E" w14:textId="77777777" w:rsidR="00F54AC8" w:rsidRDefault="00F54AC8" w:rsidP="00F54AC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ascii="Arial" w:hAnsi="Arial" w:cs="Arial"/>
          <w:b/>
          <w:color w:val="000000"/>
          <w:sz w:val="20"/>
          <w:szCs w:val="20"/>
        </w:rPr>
      </w:pPr>
    </w:p>
    <w:p w14:paraId="6687D8F8" w14:textId="5FC467D0" w:rsidR="00F54AC8" w:rsidRPr="00F54AC8" w:rsidRDefault="00F54AC8" w:rsidP="00F54AC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ascii="Arial" w:hAnsi="Arial" w:cs="Arial"/>
          <w:color w:val="000000"/>
          <w:sz w:val="20"/>
          <w:szCs w:val="20"/>
        </w:rPr>
      </w:pPr>
      <w:r w:rsidRPr="00F54AC8">
        <w:rPr>
          <w:rFonts w:ascii="Arial" w:hAnsi="Arial" w:cs="Arial"/>
          <w:b/>
          <w:color w:val="000000"/>
          <w:sz w:val="20"/>
          <w:szCs w:val="20"/>
        </w:rPr>
        <w:t>Strada urbana di scorrimento:</w:t>
      </w:r>
      <w:r w:rsidRPr="00F54AC8">
        <w:rPr>
          <w:rFonts w:ascii="Arial" w:hAnsi="Arial" w:cs="Arial"/>
          <w:color w:val="000000"/>
          <w:sz w:val="20"/>
          <w:szCs w:val="20"/>
        </w:rPr>
        <w:t xml:space="preserve"> strada a carreggiate indipendenti o separate da spartitraffico, ciascuna con almeno due corsie di marcia, e una eventuale corsia riservata ai mezzi pubblici, banchina pavimentata a destra e marciapiedi, con le eventuali intersezioni a raso semaforizzate.</w:t>
      </w:r>
    </w:p>
    <w:p w14:paraId="049B7F15" w14:textId="77777777" w:rsidR="00F54AC8" w:rsidRPr="00F54AC8" w:rsidRDefault="00F54AC8" w:rsidP="00F54AC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ascii="Arial Narrow" w:hAnsi="Arial Narrow" w:cs="Arial"/>
          <w:sz w:val="15"/>
          <w:szCs w:val="15"/>
        </w:rPr>
      </w:pPr>
      <w:r w:rsidRPr="00F54AC8">
        <w:rPr>
          <w:rFonts w:ascii="Arial" w:hAnsi="Arial" w:cs="Arial"/>
          <w:b/>
          <w:color w:val="000000"/>
          <w:sz w:val="20"/>
          <w:szCs w:val="20"/>
        </w:rPr>
        <w:t xml:space="preserve">Strada urbana di quartiere: </w:t>
      </w:r>
      <w:r w:rsidRPr="00F54AC8">
        <w:rPr>
          <w:rFonts w:ascii="Arial" w:hAnsi="Arial" w:cs="Arial"/>
          <w:color w:val="000000"/>
          <w:sz w:val="20"/>
          <w:szCs w:val="20"/>
        </w:rPr>
        <w:t>strada ad unica carreggiata con almeno due corsie, banchine pavimentate e marciapiedi; per la sosta sono previste aree attrezzate con apposita corsia di manovra, esterna alla carreggiata.</w:t>
      </w:r>
    </w:p>
    <w:p w14:paraId="5C670C10" w14:textId="77777777" w:rsidR="00F54AC8" w:rsidRPr="00F54AC8" w:rsidRDefault="00F54AC8" w:rsidP="00F54AC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ascii="Arial" w:hAnsi="Arial" w:cs="Arial"/>
          <w:sz w:val="20"/>
          <w:szCs w:val="20"/>
        </w:rPr>
      </w:pPr>
      <w:r w:rsidRPr="00F54AC8">
        <w:rPr>
          <w:rFonts w:ascii="Arial" w:hAnsi="Arial"/>
          <w:b/>
          <w:sz w:val="20"/>
          <w:szCs w:val="20"/>
        </w:rPr>
        <w:t xml:space="preserve">Tasso di lesività stradale: </w:t>
      </w:r>
      <w:r w:rsidRPr="00F54AC8">
        <w:rPr>
          <w:rFonts w:ascii="Arial" w:hAnsi="Arial" w:cs="Arial"/>
          <w:sz w:val="20"/>
          <w:szCs w:val="20"/>
        </w:rPr>
        <w:t>Feriti per incidente stradale rapportati alla popolazione media residente (per 1.000.000 o 100mila).</w:t>
      </w:r>
    </w:p>
    <w:p w14:paraId="7846ADEE" w14:textId="77777777" w:rsidR="00F54AC8" w:rsidRPr="00F54AC8" w:rsidRDefault="00F54AC8" w:rsidP="00F54AC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ascii="Arial" w:hAnsi="Arial" w:cs="Arial"/>
          <w:sz w:val="20"/>
          <w:szCs w:val="20"/>
        </w:rPr>
      </w:pPr>
      <w:r w:rsidRPr="00F54AC8">
        <w:rPr>
          <w:rFonts w:ascii="Arial" w:hAnsi="Arial"/>
          <w:b/>
          <w:sz w:val="20"/>
          <w:szCs w:val="20"/>
        </w:rPr>
        <w:t xml:space="preserve">Tasso di mortalità stradale: </w:t>
      </w:r>
      <w:r w:rsidRPr="00F54AC8">
        <w:rPr>
          <w:rFonts w:ascii="Arial" w:hAnsi="Arial" w:cs="Arial"/>
          <w:sz w:val="20"/>
          <w:szCs w:val="20"/>
        </w:rPr>
        <w:t>Morti per incidente stradale rapportati alla popolazione media residente (per 1.000.000 o 100mila).</w:t>
      </w:r>
    </w:p>
    <w:p w14:paraId="4A8B87C9" w14:textId="77777777" w:rsidR="00F54AC8" w:rsidRPr="00F54AC8" w:rsidRDefault="00F54AC8" w:rsidP="00F54AC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ascii="Arial" w:hAnsi="Arial"/>
          <w:sz w:val="20"/>
          <w:szCs w:val="20"/>
        </w:rPr>
      </w:pPr>
      <w:r w:rsidRPr="00F54AC8">
        <w:rPr>
          <w:rFonts w:ascii="Arial" w:hAnsi="Arial"/>
          <w:b/>
          <w:sz w:val="20"/>
          <w:szCs w:val="20"/>
        </w:rPr>
        <w:t xml:space="preserve">Veicolo: </w:t>
      </w:r>
      <w:r w:rsidRPr="00F54AC8">
        <w:rPr>
          <w:rFonts w:ascii="Arial" w:hAnsi="Arial"/>
          <w:sz w:val="20"/>
          <w:szCs w:val="20"/>
        </w:rPr>
        <w:t>La macchina di qualsiasi specie, circolante per strada, guidata dall’uomo o trainata da altri mezzi. Non rientrano nella definizione di veicolo quelle per uso di bambini o di invalidi.</w:t>
      </w:r>
    </w:p>
    <w:p w14:paraId="65E4FB77" w14:textId="77777777" w:rsidR="00F54AC8" w:rsidRPr="00F54AC8" w:rsidRDefault="00F54AC8" w:rsidP="00F54AC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ascii="Arial" w:hAnsi="Arial"/>
          <w:b/>
          <w:sz w:val="20"/>
          <w:szCs w:val="20"/>
        </w:rPr>
      </w:pPr>
      <w:r w:rsidRPr="00F54AC8">
        <w:rPr>
          <w:rFonts w:ascii="Arial" w:hAnsi="Arial"/>
          <w:b/>
          <w:sz w:val="20"/>
          <w:szCs w:val="20"/>
        </w:rPr>
        <w:t xml:space="preserve">Variazione percentuale: </w:t>
      </w:r>
      <w:r w:rsidRPr="00F54AC8">
        <w:rPr>
          <w:rFonts w:ascii="Arial" w:hAnsi="Arial"/>
          <w:sz w:val="20"/>
          <w:szCs w:val="20"/>
        </w:rPr>
        <w:t>La variazione percentuale tra due dati è calcolata come la differenza fra un dato al tempo t e il dato al tempo t-1 (o t-x), rapportata al dato al tempo t-1 (o t-x), moltiplicata per 100.</w:t>
      </w:r>
      <w:r w:rsidRPr="00F54AC8">
        <w:rPr>
          <w:rFonts w:ascii="Arial" w:hAnsi="Arial"/>
          <w:b/>
          <w:sz w:val="20"/>
          <w:szCs w:val="20"/>
        </w:rPr>
        <w:t xml:space="preserve"> </w:t>
      </w:r>
    </w:p>
    <w:p w14:paraId="1C8FEF15" w14:textId="77777777" w:rsidR="00F54AC8" w:rsidRPr="00F54AC8" w:rsidRDefault="00F54AC8" w:rsidP="00F54AC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ascii="Arial" w:hAnsi="Arial"/>
          <w:b/>
          <w:sz w:val="20"/>
          <w:szCs w:val="20"/>
        </w:rPr>
      </w:pPr>
    </w:p>
    <w:p w14:paraId="58D3ACDA" w14:textId="77777777" w:rsidR="00F54AC8" w:rsidRPr="00F54AC8" w:rsidRDefault="00F54AC8" w:rsidP="00F54AC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ascii="Arial" w:hAnsi="Arial" w:cs="Arial"/>
          <w:b/>
          <w:sz w:val="28"/>
          <w:szCs w:val="28"/>
        </w:rPr>
      </w:pPr>
      <w:r w:rsidRPr="00F54AC8">
        <w:rPr>
          <w:rFonts w:ascii="Arial" w:hAnsi="Arial" w:cs="Arial"/>
          <w:b/>
          <w:sz w:val="28"/>
          <w:szCs w:val="28"/>
        </w:rPr>
        <w:t>Nota metodologica</w:t>
      </w:r>
    </w:p>
    <w:p w14:paraId="4B9B1830" w14:textId="77777777" w:rsidR="00F54AC8" w:rsidRPr="00F54AC8" w:rsidRDefault="00F54AC8" w:rsidP="00F54AC8">
      <w:pPr>
        <w:tabs>
          <w:tab w:val="left" w:pos="-1134"/>
          <w:tab w:val="left" w:pos="-568"/>
          <w:tab w:val="left" w:pos="709"/>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rPr>
          <w:rFonts w:ascii="Arial" w:hAnsi="Arial" w:cs="Arial"/>
          <w:b/>
          <w:sz w:val="28"/>
          <w:szCs w:val="28"/>
        </w:rPr>
      </w:pPr>
      <w:r w:rsidRPr="00F54AC8">
        <w:rPr>
          <w:rFonts w:ascii="Arial" w:hAnsi="Arial" w:cs="Arial"/>
          <w:b/>
          <w:sz w:val="28"/>
          <w:szCs w:val="28"/>
        </w:rPr>
        <w:t>Rilevazione degli incidenti stradali con lesioni a persone</w:t>
      </w:r>
    </w:p>
    <w:p w14:paraId="17FBBFFC" w14:textId="77777777" w:rsidR="00F54AC8" w:rsidRPr="00F54AC8" w:rsidRDefault="00F54AC8" w:rsidP="00F54AC8">
      <w:pPr>
        <w:widowControl w:val="0"/>
        <w:tabs>
          <w:tab w:val="left" w:pos="-1800"/>
          <w:tab w:val="left" w:pos="-1092"/>
          <w:tab w:val="left" w:pos="-384"/>
          <w:tab w:val="left" w:pos="324"/>
          <w:tab w:val="left" w:pos="1032"/>
          <w:tab w:val="left" w:pos="1740"/>
          <w:tab w:val="left" w:pos="2454"/>
          <w:tab w:val="left" w:pos="3162"/>
          <w:tab w:val="left" w:pos="3870"/>
          <w:tab w:val="left" w:pos="4578"/>
          <w:tab w:val="left" w:pos="5286"/>
          <w:tab w:val="left" w:pos="5994"/>
          <w:tab w:val="left" w:pos="6708"/>
          <w:tab w:val="left" w:pos="7416"/>
          <w:tab w:val="left" w:pos="8124"/>
        </w:tabs>
        <w:spacing w:after="120"/>
        <w:jc w:val="both"/>
        <w:rPr>
          <w:rFonts w:ascii="Arial" w:hAnsi="Arial"/>
          <w:b/>
          <w:bCs/>
          <w:sz w:val="22"/>
          <w:szCs w:val="22"/>
        </w:rPr>
      </w:pPr>
    </w:p>
    <w:p w14:paraId="3000D228" w14:textId="77777777" w:rsidR="00F54AC8" w:rsidRPr="00F54AC8" w:rsidRDefault="00F54AC8" w:rsidP="00F54AC8">
      <w:pPr>
        <w:widowControl w:val="0"/>
        <w:tabs>
          <w:tab w:val="left" w:pos="-1800"/>
          <w:tab w:val="left" w:pos="-1092"/>
          <w:tab w:val="left" w:pos="-384"/>
          <w:tab w:val="left" w:pos="324"/>
          <w:tab w:val="left" w:pos="1032"/>
          <w:tab w:val="left" w:pos="1740"/>
          <w:tab w:val="left" w:pos="2454"/>
          <w:tab w:val="left" w:pos="3162"/>
          <w:tab w:val="left" w:pos="3870"/>
          <w:tab w:val="left" w:pos="4578"/>
          <w:tab w:val="left" w:pos="5286"/>
          <w:tab w:val="left" w:pos="5994"/>
          <w:tab w:val="left" w:pos="6708"/>
          <w:tab w:val="left" w:pos="7416"/>
          <w:tab w:val="left" w:pos="8124"/>
        </w:tabs>
        <w:spacing w:after="120"/>
        <w:jc w:val="both"/>
        <w:rPr>
          <w:rFonts w:ascii="Arial" w:hAnsi="Arial"/>
          <w:b/>
          <w:bCs/>
          <w:sz w:val="22"/>
          <w:szCs w:val="22"/>
        </w:rPr>
      </w:pPr>
      <w:r w:rsidRPr="00F54AC8">
        <w:rPr>
          <w:rFonts w:ascii="Arial" w:hAnsi="Arial"/>
          <w:b/>
          <w:bCs/>
          <w:sz w:val="22"/>
          <w:szCs w:val="22"/>
        </w:rPr>
        <w:t xml:space="preserve">Introduzione </w:t>
      </w:r>
    </w:p>
    <w:p w14:paraId="2A8B176F" w14:textId="77777777" w:rsidR="00F54AC8" w:rsidRPr="00F54AC8" w:rsidRDefault="00F54AC8" w:rsidP="00F54AC8">
      <w:pPr>
        <w:widowControl w:val="0"/>
        <w:tabs>
          <w:tab w:val="left" w:pos="-1800"/>
          <w:tab w:val="left" w:pos="-1092"/>
          <w:tab w:val="left" w:pos="-384"/>
          <w:tab w:val="left" w:pos="324"/>
          <w:tab w:val="left" w:pos="1032"/>
          <w:tab w:val="left" w:pos="1740"/>
          <w:tab w:val="left" w:pos="2454"/>
          <w:tab w:val="left" w:pos="3162"/>
          <w:tab w:val="left" w:pos="3870"/>
          <w:tab w:val="left" w:pos="4578"/>
          <w:tab w:val="left" w:pos="5286"/>
          <w:tab w:val="left" w:pos="5994"/>
          <w:tab w:val="left" w:pos="6708"/>
          <w:tab w:val="left" w:pos="7416"/>
          <w:tab w:val="left" w:pos="8124"/>
        </w:tabs>
        <w:spacing w:after="120"/>
        <w:jc w:val="both"/>
        <w:rPr>
          <w:rFonts w:ascii="Arial" w:hAnsi="Arial" w:cs="Arial"/>
          <w:sz w:val="20"/>
          <w:szCs w:val="20"/>
        </w:rPr>
      </w:pPr>
      <w:r w:rsidRPr="00F54AC8">
        <w:rPr>
          <w:rFonts w:ascii="Arial" w:hAnsi="Arial" w:cs="Arial"/>
          <w:sz w:val="20"/>
          <w:szCs w:val="20"/>
        </w:rPr>
        <w:t>L’informazione statistica sull’incidentalità stradale è prodotta dall’Istat sulla base di una rilevazione di tutti gli incidenti stradali verificatisi sul territorio nazionale che hanno causato lesioni alle persone (morti entro il trentesimo giorno oppure feriti). Enti compartecipanti all’indagine sono l’ACI (Automobile Club d’Italia), alcune Regioni e le Province Autonome, secondo le modalità previste da Protocolli di Intesa e Convenzioni. La raccolta delle informazioni prevede la collaborazione di Organi pubblici a competenza locale (Polizia Stradale, Carabinieri, Polizia locale o municipale, Polizia provinciale e altri organismi), in relazione ai compiti assolti nei riguardi della disciplina del traffico e della circolazione.</w:t>
      </w:r>
    </w:p>
    <w:p w14:paraId="350EBB11" w14:textId="77777777" w:rsidR="00F54AC8" w:rsidRPr="00F54AC8" w:rsidRDefault="00F54AC8" w:rsidP="00F54AC8">
      <w:pPr>
        <w:keepNext/>
        <w:spacing w:after="120"/>
        <w:jc w:val="both"/>
        <w:outlineLvl w:val="0"/>
        <w:rPr>
          <w:rFonts w:ascii="Arial" w:hAnsi="Arial" w:cs="Arial"/>
          <w:iCs/>
          <w:sz w:val="20"/>
          <w:szCs w:val="20"/>
        </w:rPr>
      </w:pPr>
      <w:r w:rsidRPr="00F54AC8">
        <w:rPr>
          <w:rFonts w:ascii="Arial" w:hAnsi="Arial"/>
          <w:iCs/>
          <w:sz w:val="20"/>
          <w:szCs w:val="20"/>
        </w:rPr>
        <w:t>G</w:t>
      </w:r>
      <w:r w:rsidRPr="00F54AC8">
        <w:rPr>
          <w:rFonts w:ascii="Arial" w:hAnsi="Arial" w:cs="Arial"/>
          <w:iCs/>
          <w:sz w:val="20"/>
          <w:szCs w:val="20"/>
        </w:rPr>
        <w:t xml:space="preserve">razie ad una stretta collaborazione tra esperti dell’Istat, del Ministero della Salute e del Ministero delle Infrastrutture e dei Trasporti, viene rilasciato, a partire dal 2015, il dato sul numero dei feriti gravi in incidente stradale. Seguendo le raccomandazioni della Commissione europea, l’Italia effettua il calcolo del numero dei feriti gravi a partire dalle informazioni presenti sulle Schede di Dimissione Ospedaliera (fonte Ministero della Salute). </w:t>
      </w:r>
    </w:p>
    <w:p w14:paraId="112B486E" w14:textId="77777777" w:rsidR="00F54AC8" w:rsidRPr="00F54AC8" w:rsidRDefault="00F54AC8" w:rsidP="00F54AC8">
      <w:pPr>
        <w:keepNext/>
        <w:jc w:val="both"/>
        <w:outlineLvl w:val="0"/>
        <w:rPr>
          <w:rFonts w:ascii="Arial" w:hAnsi="Arial" w:cs="Arial"/>
          <w:sz w:val="20"/>
          <w:szCs w:val="20"/>
        </w:rPr>
      </w:pPr>
      <w:r w:rsidRPr="00F54AC8">
        <w:rPr>
          <w:rFonts w:ascii="Arial" w:hAnsi="Arial" w:cs="Arial"/>
          <w:sz w:val="20"/>
          <w:szCs w:val="20"/>
        </w:rPr>
        <w:t>Sono incluse, inoltre, a corredo dei tradizionali indicatori sugli incidenti stradali, anche le informazioni sulle violazioni agli articoli del Codice della Strada, contestate dai singoli Organi di rilevazione. Le informazioni si basano sui dati forniti dalla Polizia stradale e dai Carabinieri e sui dati sulle contravvenzioni elevate dalle Polizie locali, raccolti grazie alla nuova rilevazione condotta dall’ACI, presso i Comandi dei Comuni Capoluogo di Provincia.</w:t>
      </w:r>
    </w:p>
    <w:p w14:paraId="448661DA" w14:textId="77777777" w:rsidR="00F54AC8" w:rsidRPr="00F54AC8" w:rsidRDefault="00F54AC8" w:rsidP="00F54AC8">
      <w:pPr>
        <w:rPr>
          <w:rFonts w:ascii="Arial" w:hAnsi="Arial" w:cs="Arial"/>
          <w:szCs w:val="20"/>
        </w:rPr>
      </w:pPr>
    </w:p>
    <w:p w14:paraId="7264C361" w14:textId="77777777" w:rsidR="00F54AC8" w:rsidRPr="00F54AC8" w:rsidRDefault="00F54AC8" w:rsidP="00F54AC8">
      <w:pPr>
        <w:autoSpaceDE w:val="0"/>
        <w:autoSpaceDN w:val="0"/>
        <w:adjustRightInd w:val="0"/>
        <w:jc w:val="both"/>
        <w:rPr>
          <w:rFonts w:ascii="Arial" w:hAnsi="Arial"/>
          <w:b/>
          <w:bCs/>
          <w:sz w:val="22"/>
          <w:szCs w:val="22"/>
        </w:rPr>
      </w:pPr>
      <w:r w:rsidRPr="00F54AC8">
        <w:rPr>
          <w:rFonts w:ascii="Arial" w:hAnsi="Arial"/>
          <w:b/>
          <w:bCs/>
          <w:sz w:val="22"/>
          <w:szCs w:val="22"/>
        </w:rPr>
        <w:t>Principali novità riguardanti le tecniche di raccolta dati e la metodologia adottata</w:t>
      </w:r>
    </w:p>
    <w:p w14:paraId="1EA8629E" w14:textId="77777777" w:rsidR="00F54AC8" w:rsidRPr="00F54AC8" w:rsidRDefault="00F54AC8" w:rsidP="00F54AC8">
      <w:pPr>
        <w:autoSpaceDE w:val="0"/>
        <w:autoSpaceDN w:val="0"/>
        <w:adjustRightInd w:val="0"/>
        <w:spacing w:before="120"/>
        <w:jc w:val="both"/>
        <w:rPr>
          <w:rFonts w:ascii="Arial" w:hAnsi="Arial" w:cs="Arial"/>
          <w:color w:val="000000"/>
          <w:sz w:val="20"/>
          <w:szCs w:val="20"/>
        </w:rPr>
      </w:pPr>
      <w:r w:rsidRPr="00F54AC8">
        <w:rPr>
          <w:rFonts w:ascii="Arial" w:hAnsi="Arial" w:cs="Arial"/>
          <w:color w:val="000000"/>
          <w:sz w:val="20"/>
          <w:szCs w:val="20"/>
        </w:rPr>
        <w:t>In linea con il percorso intrapreso da Eurostat e da altri istituti di statistica, nel 2017 l’Istat ha iniziato a utilizzare metodi innovativi per la produzione dei dati. Le statistiche prodotte sono definite sperimentali in quanto non ancora annoverate tra le fonti della statistica ufficiale e in fase di consolidamento. Tali dati hanno un potenziale informativo elevato, poiché spesso colmano lacune conoscitive e creano le condizioni per nuove analisi a sostegno delle policy.</w:t>
      </w:r>
    </w:p>
    <w:p w14:paraId="3CDBFCF9" w14:textId="316037B8" w:rsidR="008F317B" w:rsidRDefault="00F54AC8" w:rsidP="00F54AC8">
      <w:pPr>
        <w:autoSpaceDE w:val="0"/>
        <w:autoSpaceDN w:val="0"/>
        <w:adjustRightInd w:val="0"/>
        <w:spacing w:before="120"/>
        <w:jc w:val="both"/>
        <w:rPr>
          <w:rFonts w:ascii="Arial" w:hAnsi="Arial" w:cs="Arial"/>
          <w:color w:val="000000"/>
          <w:sz w:val="20"/>
          <w:szCs w:val="20"/>
        </w:rPr>
      </w:pPr>
      <w:r w:rsidRPr="00F54AC8">
        <w:rPr>
          <w:rFonts w:ascii="Arial" w:hAnsi="Arial" w:cs="Arial"/>
          <w:color w:val="000000"/>
          <w:sz w:val="20"/>
          <w:szCs w:val="20"/>
        </w:rPr>
        <w:t>Prosegue anche nel 2022 la produzione delle statistiche sperimentali sull’</w:t>
      </w:r>
      <w:r w:rsidRPr="00F54AC8">
        <w:rPr>
          <w:rFonts w:ascii="Arial" w:hAnsi="Arial" w:cs="Arial"/>
          <w:b/>
          <w:color w:val="000000"/>
          <w:sz w:val="20"/>
          <w:szCs w:val="20"/>
        </w:rPr>
        <w:t xml:space="preserve">Utilizzo di </w:t>
      </w:r>
      <w:r w:rsidRPr="00F54AC8">
        <w:rPr>
          <w:rFonts w:ascii="Arial" w:hAnsi="Arial" w:cs="Arial"/>
          <w:b/>
          <w:i/>
          <w:color w:val="000000"/>
          <w:sz w:val="20"/>
          <w:szCs w:val="20"/>
        </w:rPr>
        <w:t xml:space="preserve">Open Street </w:t>
      </w:r>
      <w:proofErr w:type="spellStart"/>
      <w:r w:rsidRPr="00F54AC8">
        <w:rPr>
          <w:rFonts w:ascii="Arial" w:hAnsi="Arial" w:cs="Arial"/>
          <w:b/>
          <w:i/>
          <w:color w:val="000000"/>
          <w:sz w:val="20"/>
          <w:szCs w:val="20"/>
        </w:rPr>
        <w:t>Map</w:t>
      </w:r>
      <w:proofErr w:type="spellEnd"/>
      <w:r w:rsidRPr="00F54AC8">
        <w:rPr>
          <w:rFonts w:ascii="Arial" w:hAnsi="Arial" w:cs="Arial"/>
          <w:b/>
          <w:color w:val="000000"/>
          <w:sz w:val="20"/>
          <w:szCs w:val="20"/>
        </w:rPr>
        <w:t xml:space="preserve"> per il calcolo di indicatori per l’incidentalità stradale sulla rete viaria italiana. </w:t>
      </w:r>
      <w:r w:rsidRPr="00F54AC8">
        <w:rPr>
          <w:rFonts w:ascii="Arial" w:hAnsi="Arial" w:cs="Arial"/>
          <w:color w:val="000000"/>
          <w:sz w:val="20"/>
          <w:szCs w:val="20"/>
        </w:rPr>
        <w:t>Dal sistema informativo geografico OSM (</w:t>
      </w:r>
      <w:r w:rsidRPr="00F54AC8">
        <w:rPr>
          <w:rFonts w:ascii="Arial" w:hAnsi="Arial" w:cs="Arial"/>
          <w:i/>
          <w:color w:val="000000"/>
          <w:sz w:val="20"/>
          <w:szCs w:val="20"/>
        </w:rPr>
        <w:t xml:space="preserve">Open Street </w:t>
      </w:r>
      <w:proofErr w:type="spellStart"/>
      <w:r w:rsidRPr="00F54AC8">
        <w:rPr>
          <w:rFonts w:ascii="Arial" w:hAnsi="Arial" w:cs="Arial"/>
          <w:i/>
          <w:color w:val="000000"/>
          <w:sz w:val="20"/>
          <w:szCs w:val="20"/>
        </w:rPr>
        <w:t>Map</w:t>
      </w:r>
      <w:proofErr w:type="spellEnd"/>
      <w:r w:rsidRPr="00F54AC8">
        <w:rPr>
          <w:rFonts w:ascii="Arial" w:hAnsi="Arial" w:cs="Arial"/>
          <w:color w:val="000000"/>
          <w:sz w:val="20"/>
          <w:szCs w:val="20"/>
        </w:rPr>
        <w:t xml:space="preserve">) sono tratti i dati </w:t>
      </w:r>
      <w:r w:rsidRPr="00F54AC8">
        <w:rPr>
          <w:rFonts w:ascii="Arial" w:hAnsi="Arial" w:cs="Arial"/>
          <w:i/>
          <w:color w:val="000000"/>
          <w:sz w:val="20"/>
          <w:szCs w:val="20"/>
        </w:rPr>
        <w:t>open source</w:t>
      </w:r>
      <w:r w:rsidRPr="00F54AC8">
        <w:rPr>
          <w:rFonts w:ascii="Arial" w:hAnsi="Arial" w:cs="Arial"/>
          <w:color w:val="000000"/>
          <w:sz w:val="20"/>
          <w:szCs w:val="20"/>
        </w:rPr>
        <w:t xml:space="preserve"> sulle estese chilometriche delle strade, base per i nuovi indicatori statistici proposti, costruiti con l’ausilio delle fonti istituzionali territoriali per località e provincia. La sperimentazione di OSM come fonte di dati sull’incidentalità stradale consente di andare oltre l’attuale indisponibilità di un catasto strade nazionale, armonizzato e sistematico. Inoltre, la lunghezza in metri di carreggiata per senso di marcia di arco stradale (da </w:t>
      </w:r>
      <w:r w:rsidRPr="00F54AC8">
        <w:rPr>
          <w:rFonts w:ascii="Arial" w:hAnsi="Arial" w:cs="Arial"/>
          <w:i/>
          <w:color w:val="000000"/>
          <w:sz w:val="20"/>
          <w:szCs w:val="20"/>
        </w:rPr>
        <w:t xml:space="preserve">Open Street </w:t>
      </w:r>
      <w:proofErr w:type="spellStart"/>
      <w:r w:rsidRPr="00F54AC8">
        <w:rPr>
          <w:rFonts w:ascii="Arial" w:hAnsi="Arial" w:cs="Arial"/>
          <w:i/>
          <w:color w:val="000000"/>
          <w:sz w:val="20"/>
          <w:szCs w:val="20"/>
        </w:rPr>
        <w:t>Map</w:t>
      </w:r>
      <w:proofErr w:type="spellEnd"/>
      <w:r w:rsidRPr="00F54AC8">
        <w:rPr>
          <w:rFonts w:ascii="Arial" w:hAnsi="Arial" w:cs="Arial"/>
          <w:color w:val="000000"/>
          <w:sz w:val="20"/>
          <w:szCs w:val="20"/>
        </w:rPr>
        <w:t xml:space="preserve">) fornisce sicuramente un denominatore più adeguato per la costruzione di indicatori sull’incidentalità stradale, rispetto alle misure più tradizionali come popolazione residente o parco veicolare </w:t>
      </w:r>
      <w:hyperlink r:id="rId25" w:history="1">
        <w:r w:rsidRPr="00F54AC8">
          <w:rPr>
            <w:rFonts w:ascii="Arial" w:hAnsi="Arial" w:cs="Arial"/>
            <w:color w:val="0000FF"/>
            <w:sz w:val="20"/>
            <w:szCs w:val="20"/>
            <w:u w:val="single"/>
          </w:rPr>
          <w:t>https://www.istat.it/it/archivio/257382</w:t>
        </w:r>
      </w:hyperlink>
      <w:r w:rsidRPr="00F54AC8">
        <w:rPr>
          <w:rFonts w:ascii="Arial" w:hAnsi="Arial" w:cs="Arial"/>
          <w:color w:val="000000"/>
          <w:sz w:val="20"/>
          <w:szCs w:val="20"/>
        </w:rPr>
        <w:t xml:space="preserve"> </w:t>
      </w:r>
      <w:r w:rsidR="008F317B">
        <w:rPr>
          <w:rFonts w:ascii="Arial" w:hAnsi="Arial" w:cs="Arial"/>
          <w:color w:val="000000"/>
          <w:sz w:val="20"/>
          <w:szCs w:val="20"/>
        </w:rPr>
        <w:br w:type="page"/>
      </w:r>
    </w:p>
    <w:p w14:paraId="534656D3" w14:textId="77777777" w:rsidR="00F54AC8" w:rsidRPr="00F54AC8" w:rsidRDefault="00F54AC8" w:rsidP="00F54AC8">
      <w:pPr>
        <w:autoSpaceDE w:val="0"/>
        <w:autoSpaceDN w:val="0"/>
        <w:adjustRightInd w:val="0"/>
        <w:spacing w:before="120"/>
        <w:jc w:val="both"/>
        <w:rPr>
          <w:rFonts w:ascii="Arial" w:hAnsi="Arial" w:cs="Arial"/>
          <w:color w:val="000000"/>
          <w:sz w:val="20"/>
          <w:szCs w:val="20"/>
        </w:rPr>
      </w:pPr>
    </w:p>
    <w:p w14:paraId="5E84B16D" w14:textId="77777777" w:rsidR="00F54AC8" w:rsidRPr="00F54AC8" w:rsidRDefault="00F54AC8" w:rsidP="00F54AC8">
      <w:pPr>
        <w:autoSpaceDE w:val="0"/>
        <w:autoSpaceDN w:val="0"/>
        <w:adjustRightInd w:val="0"/>
        <w:spacing w:before="120"/>
        <w:jc w:val="both"/>
        <w:rPr>
          <w:rFonts w:ascii="Arial" w:hAnsi="Arial" w:cs="Arial"/>
          <w:color w:val="000000"/>
          <w:sz w:val="20"/>
          <w:szCs w:val="20"/>
        </w:rPr>
      </w:pPr>
      <w:r w:rsidRPr="00F54AC8">
        <w:rPr>
          <w:rFonts w:ascii="Arial" w:hAnsi="Arial" w:cs="Arial"/>
          <w:color w:val="000000"/>
          <w:sz w:val="20"/>
          <w:szCs w:val="20"/>
        </w:rPr>
        <w:t xml:space="preserve">Un miglioramento della rilevazione degli incidenti stradali è stato apportato anche grazie all’introduzione del </w:t>
      </w:r>
      <w:r w:rsidRPr="00F54AC8">
        <w:rPr>
          <w:rFonts w:ascii="Arial" w:hAnsi="Arial" w:cs="Arial"/>
          <w:b/>
          <w:color w:val="000000"/>
          <w:sz w:val="20"/>
          <w:szCs w:val="20"/>
        </w:rPr>
        <w:t>modello online</w:t>
      </w:r>
      <w:r w:rsidRPr="00F54AC8">
        <w:rPr>
          <w:rFonts w:ascii="Arial" w:hAnsi="Arial" w:cs="Arial"/>
          <w:color w:val="000000"/>
          <w:sz w:val="20"/>
          <w:szCs w:val="20"/>
        </w:rPr>
        <w:t xml:space="preserve"> per la registrazione delle informazioni sugli incidenti stradali. A partire dal 2019, difatti, l’Istat ha messo a disposizione delle Polizie locali un nuovo sistema di acquisizione dati. Il nuovo questionario </w:t>
      </w:r>
      <w:r w:rsidRPr="00F54AC8">
        <w:rPr>
          <w:rFonts w:ascii="Arial" w:hAnsi="Arial" w:cs="Arial"/>
          <w:i/>
          <w:color w:val="000000"/>
          <w:sz w:val="20"/>
          <w:szCs w:val="20"/>
        </w:rPr>
        <w:t>web</w:t>
      </w:r>
      <w:r w:rsidRPr="00F54AC8">
        <w:rPr>
          <w:rFonts w:ascii="Arial" w:hAnsi="Arial" w:cs="Arial"/>
          <w:color w:val="000000"/>
          <w:sz w:val="20"/>
          <w:szCs w:val="20"/>
        </w:rPr>
        <w:t>, basato su un</w:t>
      </w:r>
      <w:r w:rsidRPr="00F54AC8">
        <w:rPr>
          <w:rFonts w:ascii="Arial" w:hAnsi="Arial" w:cs="Arial"/>
          <w:i/>
          <w:color w:val="000000"/>
          <w:sz w:val="20"/>
          <w:szCs w:val="20"/>
        </w:rPr>
        <w:t xml:space="preserve"> software open source</w:t>
      </w:r>
      <w:r w:rsidRPr="00F54AC8">
        <w:rPr>
          <w:rFonts w:ascii="Arial" w:hAnsi="Arial" w:cs="Arial"/>
          <w:color w:val="000000"/>
          <w:sz w:val="20"/>
          <w:szCs w:val="20"/>
        </w:rPr>
        <w:t xml:space="preserve"> e sviluppato dall’Istat, è annoverato tra le indagini disponibili sul portale Gino Istat (Gestione Indagini </w:t>
      </w:r>
      <w:r w:rsidRPr="00F54AC8">
        <w:rPr>
          <w:rFonts w:ascii="Arial" w:hAnsi="Arial" w:cs="Arial"/>
          <w:i/>
          <w:color w:val="000000"/>
          <w:sz w:val="20"/>
          <w:szCs w:val="20"/>
        </w:rPr>
        <w:t>Online</w:t>
      </w:r>
      <w:r w:rsidRPr="00F54AC8">
        <w:rPr>
          <w:rFonts w:ascii="Arial" w:hAnsi="Arial" w:cs="Arial"/>
          <w:color w:val="000000"/>
          <w:sz w:val="20"/>
          <w:szCs w:val="20"/>
        </w:rPr>
        <w:t xml:space="preserve">) ed è disponibile all’indirizzo </w:t>
      </w:r>
      <w:hyperlink r:id="rId26" w:history="1">
        <w:r w:rsidRPr="00F54AC8">
          <w:rPr>
            <w:rFonts w:ascii="Arial" w:hAnsi="Arial" w:cs="Arial"/>
            <w:color w:val="0000FF"/>
            <w:sz w:val="20"/>
            <w:szCs w:val="20"/>
            <w:u w:val="single"/>
          </w:rPr>
          <w:t>https://gino.istat.it/incidenti</w:t>
        </w:r>
      </w:hyperlink>
      <w:r w:rsidRPr="00F54AC8">
        <w:rPr>
          <w:rFonts w:ascii="Arial" w:hAnsi="Arial" w:cs="Arial"/>
          <w:color w:val="000000"/>
          <w:sz w:val="20"/>
          <w:szCs w:val="20"/>
        </w:rPr>
        <w:t xml:space="preserve">. </w:t>
      </w:r>
    </w:p>
    <w:p w14:paraId="23977BB1" w14:textId="77777777" w:rsidR="00F54AC8" w:rsidRPr="00F54AC8" w:rsidRDefault="00F54AC8" w:rsidP="00F54AC8">
      <w:pPr>
        <w:autoSpaceDE w:val="0"/>
        <w:autoSpaceDN w:val="0"/>
        <w:adjustRightInd w:val="0"/>
        <w:spacing w:before="120"/>
        <w:jc w:val="both"/>
        <w:rPr>
          <w:rFonts w:ascii="Arial" w:hAnsi="Arial" w:cs="Arial"/>
          <w:color w:val="000000"/>
          <w:sz w:val="20"/>
          <w:szCs w:val="20"/>
        </w:rPr>
      </w:pPr>
      <w:r w:rsidRPr="00F54AC8">
        <w:rPr>
          <w:rFonts w:ascii="Arial" w:hAnsi="Arial" w:cs="Arial"/>
          <w:bCs/>
          <w:sz w:val="20"/>
          <w:szCs w:val="20"/>
        </w:rPr>
        <w:t>L’introduzione del nuovo questionario on line si incardina nel rispetto della norma del Codice dell’amministrazione digitale</w:t>
      </w:r>
      <w:r w:rsidRPr="00F54AC8">
        <w:rPr>
          <w:rFonts w:ascii="Arial" w:hAnsi="Arial" w:cs="Arial"/>
          <w:bCs/>
          <w:i/>
          <w:sz w:val="20"/>
          <w:szCs w:val="20"/>
        </w:rPr>
        <w:t xml:space="preserve"> </w:t>
      </w:r>
      <w:r w:rsidRPr="00F54AC8">
        <w:rPr>
          <w:rFonts w:ascii="Arial" w:hAnsi="Arial" w:cs="Arial"/>
          <w:bCs/>
          <w:sz w:val="20"/>
          <w:szCs w:val="20"/>
        </w:rPr>
        <w:t>(art. 47 del D.lgs. n. 82 del 2005), in conformità a quanto disposto dal quale i dati</w:t>
      </w:r>
      <w:r w:rsidRPr="00F54AC8" w:rsidDel="009C0E36">
        <w:rPr>
          <w:rFonts w:ascii="Arial" w:hAnsi="Arial" w:cs="Arial"/>
          <w:bCs/>
          <w:sz w:val="20"/>
          <w:szCs w:val="20"/>
        </w:rPr>
        <w:t xml:space="preserve"> </w:t>
      </w:r>
      <w:r w:rsidRPr="00F54AC8">
        <w:rPr>
          <w:rFonts w:ascii="Arial" w:hAnsi="Arial" w:cs="Arial"/>
          <w:bCs/>
          <w:sz w:val="20"/>
          <w:szCs w:val="20"/>
        </w:rPr>
        <w:t xml:space="preserve">devono essere inviati all’Istat in modalità informatizzata. </w:t>
      </w:r>
      <w:r w:rsidRPr="00F54AC8">
        <w:rPr>
          <w:rFonts w:ascii="Arial" w:hAnsi="Arial" w:cs="Arial"/>
          <w:color w:val="000000"/>
          <w:sz w:val="20"/>
          <w:szCs w:val="20"/>
        </w:rPr>
        <w:t xml:space="preserve">La nuova modalità di registrazione rappresenta un’opportunità per poter ottimizzare le attività di compilazione, archiviazione e consultazione dei dati. </w:t>
      </w:r>
    </w:p>
    <w:p w14:paraId="0570E7A8" w14:textId="77777777" w:rsidR="00F54AC8" w:rsidRPr="00F54AC8" w:rsidRDefault="00F54AC8" w:rsidP="00F54AC8">
      <w:pPr>
        <w:autoSpaceDE w:val="0"/>
        <w:autoSpaceDN w:val="0"/>
        <w:adjustRightInd w:val="0"/>
        <w:spacing w:before="120"/>
        <w:jc w:val="both"/>
        <w:rPr>
          <w:rFonts w:ascii="Arial" w:hAnsi="Arial" w:cs="Arial"/>
          <w:color w:val="000000"/>
          <w:sz w:val="20"/>
          <w:szCs w:val="20"/>
        </w:rPr>
      </w:pPr>
      <w:r w:rsidRPr="00F54AC8">
        <w:rPr>
          <w:rFonts w:ascii="Arial" w:hAnsi="Arial" w:cs="Arial"/>
          <w:color w:val="000000"/>
          <w:sz w:val="20"/>
          <w:szCs w:val="20"/>
        </w:rPr>
        <w:t xml:space="preserve">A partire dal 2020 sono anche state previste alcune nuove modalità per la tipologia di veicolo e per la circostanza di incidente. In particolare sono state incluse le tipologie di veicolo, </w:t>
      </w:r>
      <w:r w:rsidRPr="00F54AC8">
        <w:rPr>
          <w:rFonts w:ascii="Arial" w:hAnsi="Arial" w:cs="Arial"/>
          <w:b/>
          <w:color w:val="000000"/>
          <w:sz w:val="20"/>
          <w:szCs w:val="20"/>
        </w:rPr>
        <w:t xml:space="preserve">monopattino elettrico e bicicletta elettrica </w:t>
      </w:r>
      <w:r w:rsidRPr="00F54AC8">
        <w:rPr>
          <w:rFonts w:ascii="Arial" w:hAnsi="Arial" w:cs="Arial"/>
          <w:color w:val="000000"/>
          <w:sz w:val="20"/>
          <w:szCs w:val="20"/>
        </w:rPr>
        <w:t xml:space="preserve">e le circostanze di incidente del gruppo </w:t>
      </w:r>
      <w:r w:rsidRPr="00F54AC8">
        <w:rPr>
          <w:rFonts w:ascii="Arial" w:hAnsi="Arial" w:cs="Arial"/>
          <w:b/>
          <w:color w:val="000000"/>
          <w:sz w:val="20"/>
          <w:szCs w:val="20"/>
        </w:rPr>
        <w:t>"Incidente a veicolo che urta veicolo in fermata, arresto o altro ostacolo"</w:t>
      </w:r>
      <w:r w:rsidRPr="00F54AC8">
        <w:rPr>
          <w:rFonts w:ascii="Arial" w:hAnsi="Arial" w:cs="Arial"/>
          <w:color w:val="000000"/>
          <w:sz w:val="20"/>
          <w:szCs w:val="20"/>
        </w:rPr>
        <w:t>: Animale domestico o d'affezione, da reddito, da lavoro, Animale selvatico, Buca.</w:t>
      </w:r>
    </w:p>
    <w:p w14:paraId="5773CDE7" w14:textId="77777777" w:rsidR="00F54AC8" w:rsidRPr="00F54AC8" w:rsidRDefault="00F54AC8" w:rsidP="00F54AC8">
      <w:pPr>
        <w:autoSpaceDE w:val="0"/>
        <w:autoSpaceDN w:val="0"/>
        <w:adjustRightInd w:val="0"/>
        <w:spacing w:before="120"/>
        <w:jc w:val="both"/>
        <w:rPr>
          <w:rFonts w:ascii="Arial" w:hAnsi="Arial" w:cs="Arial"/>
          <w:b/>
          <w:bCs/>
          <w:sz w:val="22"/>
          <w:szCs w:val="22"/>
        </w:rPr>
      </w:pPr>
    </w:p>
    <w:p w14:paraId="10AF07C3" w14:textId="77777777" w:rsidR="00F54AC8" w:rsidRPr="00F54AC8" w:rsidRDefault="00F54AC8" w:rsidP="00F54AC8">
      <w:pPr>
        <w:widowControl w:val="0"/>
        <w:tabs>
          <w:tab w:val="left" w:pos="-1800"/>
          <w:tab w:val="left" w:pos="-1092"/>
          <w:tab w:val="left" w:pos="-384"/>
          <w:tab w:val="left" w:pos="324"/>
          <w:tab w:val="left" w:pos="1032"/>
          <w:tab w:val="left" w:pos="1740"/>
          <w:tab w:val="left" w:pos="2454"/>
          <w:tab w:val="left" w:pos="3162"/>
          <w:tab w:val="left" w:pos="3870"/>
          <w:tab w:val="left" w:pos="4578"/>
          <w:tab w:val="left" w:pos="5286"/>
          <w:tab w:val="left" w:pos="5994"/>
          <w:tab w:val="left" w:pos="6708"/>
          <w:tab w:val="left" w:pos="7416"/>
          <w:tab w:val="left" w:pos="8124"/>
        </w:tabs>
        <w:spacing w:after="120"/>
        <w:jc w:val="both"/>
        <w:rPr>
          <w:rFonts w:ascii="Arial" w:hAnsi="Arial"/>
          <w:b/>
          <w:bCs/>
          <w:sz w:val="22"/>
          <w:szCs w:val="22"/>
        </w:rPr>
      </w:pPr>
      <w:r w:rsidRPr="00F54AC8">
        <w:rPr>
          <w:rFonts w:ascii="Arial" w:hAnsi="Arial"/>
          <w:b/>
          <w:bCs/>
          <w:sz w:val="22"/>
          <w:szCs w:val="22"/>
        </w:rPr>
        <w:t>Quadro normativo</w:t>
      </w:r>
    </w:p>
    <w:p w14:paraId="25C98C73" w14:textId="77777777" w:rsidR="00F54AC8" w:rsidRPr="00F54AC8" w:rsidRDefault="00F54AC8" w:rsidP="00F54AC8">
      <w:pPr>
        <w:keepNext/>
        <w:spacing w:after="120"/>
        <w:jc w:val="both"/>
        <w:outlineLvl w:val="0"/>
        <w:rPr>
          <w:rFonts w:ascii="Arial" w:hAnsi="Arial" w:cs="Arial"/>
          <w:iCs/>
          <w:sz w:val="20"/>
          <w:szCs w:val="20"/>
        </w:rPr>
      </w:pPr>
      <w:r w:rsidRPr="00F54AC8">
        <w:rPr>
          <w:rFonts w:ascii="Arial" w:hAnsi="Arial" w:cs="Arial"/>
          <w:iCs/>
          <w:sz w:val="20"/>
          <w:szCs w:val="20"/>
        </w:rPr>
        <w:t>La rilevazione degli incidenti stradali con lesioni a persone è inclusa nel Programma Statistico Nazionale (IST-00142) ed è stata istituita con un Atto programmatico dell’Istat per far fronte alle esigenze informative degli organi decisionali nazionali e delle amministrazioni locali, impegnati nella predisposizione di piani di prevenzione e di sicurezza stradale e per fornire una solida base informativa a ricercatori e utenti dei dati.</w:t>
      </w:r>
    </w:p>
    <w:p w14:paraId="401DCBA1" w14:textId="77777777" w:rsidR="00F54AC8" w:rsidRPr="00F54AC8" w:rsidRDefault="00F54AC8" w:rsidP="00F54AC8">
      <w:pPr>
        <w:keepNext/>
        <w:spacing w:after="120"/>
        <w:jc w:val="both"/>
        <w:outlineLvl w:val="0"/>
        <w:rPr>
          <w:rFonts w:ascii="Arial" w:hAnsi="Arial" w:cs="Arial"/>
          <w:sz w:val="20"/>
          <w:szCs w:val="20"/>
        </w:rPr>
      </w:pPr>
      <w:r w:rsidRPr="00F54AC8">
        <w:rPr>
          <w:rFonts w:ascii="Arial" w:hAnsi="Arial" w:cs="Arial"/>
          <w:iCs/>
          <w:sz w:val="20"/>
          <w:szCs w:val="20"/>
        </w:rPr>
        <w:t xml:space="preserve">Le informazioni sugli incidenti stradali sono fornite annualmente alla Commissione europea e all’Eurostat, in virtù della Decisione del Consiglio n. 704 del 30 novembre 1993 relativa alla creazione di una banca di dati </w:t>
      </w:r>
      <w:r w:rsidRPr="00F54AC8">
        <w:rPr>
          <w:rFonts w:ascii="Arial" w:hAnsi="Arial" w:cs="Arial"/>
          <w:sz w:val="20"/>
          <w:szCs w:val="20"/>
        </w:rPr>
        <w:t>comunitaria sugli incidenti stradali.</w:t>
      </w:r>
    </w:p>
    <w:p w14:paraId="5219ADA3" w14:textId="77777777" w:rsidR="00F54AC8" w:rsidRPr="00F54AC8" w:rsidRDefault="00F54AC8" w:rsidP="00F54AC8">
      <w:pPr>
        <w:keepNext/>
        <w:spacing w:after="120"/>
        <w:jc w:val="both"/>
        <w:outlineLvl w:val="0"/>
        <w:rPr>
          <w:rFonts w:ascii="Arial" w:hAnsi="Arial" w:cs="Arial"/>
          <w:sz w:val="20"/>
          <w:szCs w:val="20"/>
          <w:vertAlign w:val="superscript"/>
        </w:rPr>
      </w:pPr>
      <w:r w:rsidRPr="00F54AC8">
        <w:rPr>
          <w:rFonts w:ascii="Arial" w:hAnsi="Arial" w:cs="Arial"/>
          <w:sz w:val="20"/>
          <w:szCs w:val="20"/>
        </w:rPr>
        <w:t>Nel contesto internazionale, inoltre, per poter proseguire l’azione di miglioramento e sensibilizzazione promossa per il decennio 2001-2010 dall’Unione europea con la predisposizione del Libro Bianco del 2001, l’Assemblea Generale delle Nazioni Unite e la Commissione europea hanno proclamato, nel 2010, un secondo decennio di iniziative per la Sicurezza Stradale 2010-2020 e di recente la nuova Agenda 2030. L’obiettivo 2020 fissato riguardava il dimezzamento delle vittime e la riduzione del numero dei feriti gravi, anche i nuovi obiettivi rinnovano le raccomandazioni per una ulteriore riduzione del 50% di morti e feriti gravi. Si è reso necessario stabilire, quindi, nuovi standard per una definizione univoca di lesione grave internazionalmente riconosciuta. La Commissione europea ha emanato alcune linee guida per classificare la gravità delle lesioni da incidente stradale; è stato proposto, infatti, l’utilizzo dell’esistente scala dei traumi AIS (</w:t>
      </w:r>
      <w:proofErr w:type="spellStart"/>
      <w:r w:rsidRPr="00F54AC8">
        <w:rPr>
          <w:rFonts w:ascii="Arial" w:hAnsi="Arial" w:cs="Arial"/>
          <w:i/>
          <w:sz w:val="20"/>
          <w:szCs w:val="20"/>
        </w:rPr>
        <w:t>Abbreviated</w:t>
      </w:r>
      <w:proofErr w:type="spellEnd"/>
      <w:r w:rsidRPr="00F54AC8">
        <w:rPr>
          <w:rFonts w:ascii="Arial" w:hAnsi="Arial" w:cs="Arial"/>
          <w:i/>
          <w:sz w:val="20"/>
          <w:szCs w:val="20"/>
        </w:rPr>
        <w:t xml:space="preserve"> </w:t>
      </w:r>
      <w:proofErr w:type="spellStart"/>
      <w:r w:rsidRPr="00F54AC8">
        <w:rPr>
          <w:rFonts w:ascii="Arial" w:hAnsi="Arial" w:cs="Arial"/>
          <w:i/>
          <w:sz w:val="20"/>
          <w:szCs w:val="20"/>
        </w:rPr>
        <w:t>Injury</w:t>
      </w:r>
      <w:proofErr w:type="spellEnd"/>
      <w:r w:rsidRPr="00F54AC8">
        <w:rPr>
          <w:rFonts w:ascii="Arial" w:hAnsi="Arial" w:cs="Arial"/>
          <w:i/>
          <w:sz w:val="20"/>
          <w:szCs w:val="20"/>
        </w:rPr>
        <w:t xml:space="preserve"> Scale</w:t>
      </w:r>
      <w:r w:rsidRPr="00F54AC8">
        <w:rPr>
          <w:rFonts w:ascii="Arial" w:hAnsi="Arial" w:cs="Arial"/>
          <w:sz w:val="20"/>
          <w:szCs w:val="20"/>
        </w:rPr>
        <w:t>) e in particolare della sua variante MAIS (</w:t>
      </w:r>
      <w:r w:rsidRPr="00F54AC8">
        <w:rPr>
          <w:rFonts w:ascii="Arial" w:hAnsi="Arial" w:cs="Arial"/>
          <w:i/>
          <w:sz w:val="20"/>
          <w:szCs w:val="20"/>
        </w:rPr>
        <w:t xml:space="preserve">Maximum </w:t>
      </w:r>
      <w:proofErr w:type="spellStart"/>
      <w:r w:rsidRPr="00F54AC8">
        <w:rPr>
          <w:rFonts w:ascii="Arial" w:hAnsi="Arial" w:cs="Arial"/>
          <w:i/>
          <w:sz w:val="20"/>
          <w:szCs w:val="20"/>
        </w:rPr>
        <w:t>Abbreviated</w:t>
      </w:r>
      <w:proofErr w:type="spellEnd"/>
      <w:r w:rsidRPr="00F54AC8">
        <w:rPr>
          <w:rFonts w:ascii="Arial" w:hAnsi="Arial" w:cs="Arial"/>
          <w:i/>
          <w:sz w:val="20"/>
          <w:szCs w:val="20"/>
        </w:rPr>
        <w:t xml:space="preserve"> </w:t>
      </w:r>
      <w:proofErr w:type="spellStart"/>
      <w:r w:rsidRPr="00F54AC8">
        <w:rPr>
          <w:rFonts w:ascii="Arial" w:hAnsi="Arial" w:cs="Arial"/>
          <w:i/>
          <w:sz w:val="20"/>
          <w:szCs w:val="20"/>
        </w:rPr>
        <w:t>Injury</w:t>
      </w:r>
      <w:proofErr w:type="spellEnd"/>
      <w:r w:rsidRPr="00F54AC8">
        <w:rPr>
          <w:rFonts w:ascii="Arial" w:hAnsi="Arial" w:cs="Arial"/>
          <w:i/>
          <w:sz w:val="20"/>
          <w:szCs w:val="20"/>
        </w:rPr>
        <w:t xml:space="preserve"> Scale</w:t>
      </w:r>
      <w:r w:rsidRPr="00F54AC8">
        <w:rPr>
          <w:rFonts w:ascii="Arial" w:hAnsi="Arial" w:cs="Arial"/>
          <w:sz w:val="20"/>
          <w:szCs w:val="20"/>
        </w:rPr>
        <w:t>)</w:t>
      </w:r>
      <w:r w:rsidRPr="00F54AC8">
        <w:rPr>
          <w:rFonts w:ascii="Arial" w:hAnsi="Arial" w:cs="Arial"/>
          <w:sz w:val="20"/>
          <w:szCs w:val="20"/>
          <w:vertAlign w:val="superscript"/>
        </w:rPr>
        <w:footnoteReference w:id="3"/>
      </w:r>
      <w:r w:rsidRPr="00F54AC8">
        <w:rPr>
          <w:rFonts w:ascii="Arial" w:hAnsi="Arial" w:cs="Arial"/>
          <w:sz w:val="20"/>
          <w:szCs w:val="20"/>
          <w:vertAlign w:val="superscript"/>
        </w:rPr>
        <w:t>.</w:t>
      </w:r>
    </w:p>
    <w:p w14:paraId="3E27315D" w14:textId="77777777" w:rsidR="00F54AC8" w:rsidRPr="00F54AC8" w:rsidRDefault="00F54AC8" w:rsidP="00F54AC8">
      <w:pPr>
        <w:rPr>
          <w:rFonts w:ascii="Arial" w:hAnsi="Arial" w:cs="Arial"/>
          <w:szCs w:val="20"/>
        </w:rPr>
      </w:pPr>
    </w:p>
    <w:p w14:paraId="009D8CE3" w14:textId="77777777" w:rsidR="00F54AC8" w:rsidRPr="00F54AC8" w:rsidRDefault="00F54AC8" w:rsidP="00F54AC8">
      <w:pPr>
        <w:widowControl w:val="0"/>
        <w:tabs>
          <w:tab w:val="left" w:pos="-1800"/>
          <w:tab w:val="left" w:pos="-1092"/>
          <w:tab w:val="left" w:pos="-384"/>
          <w:tab w:val="left" w:pos="324"/>
          <w:tab w:val="left" w:pos="1032"/>
          <w:tab w:val="left" w:pos="1740"/>
          <w:tab w:val="left" w:pos="2454"/>
          <w:tab w:val="left" w:pos="3162"/>
          <w:tab w:val="left" w:pos="3870"/>
          <w:tab w:val="left" w:pos="4578"/>
          <w:tab w:val="left" w:pos="5286"/>
          <w:tab w:val="left" w:pos="5994"/>
          <w:tab w:val="left" w:pos="6708"/>
          <w:tab w:val="left" w:pos="7416"/>
          <w:tab w:val="left" w:pos="8124"/>
        </w:tabs>
        <w:spacing w:after="120"/>
        <w:jc w:val="both"/>
        <w:rPr>
          <w:rFonts w:ascii="Arial" w:hAnsi="Arial"/>
          <w:b/>
          <w:bCs/>
          <w:sz w:val="22"/>
          <w:szCs w:val="22"/>
        </w:rPr>
      </w:pPr>
      <w:r w:rsidRPr="00F54AC8">
        <w:rPr>
          <w:rFonts w:ascii="Arial" w:hAnsi="Arial"/>
          <w:b/>
          <w:bCs/>
          <w:sz w:val="22"/>
          <w:szCs w:val="22"/>
        </w:rPr>
        <w:t>Campo di osservazione, unità di rilevazione e principali definizioni</w:t>
      </w:r>
    </w:p>
    <w:p w14:paraId="37329A9C" w14:textId="77777777" w:rsidR="00F54AC8" w:rsidRPr="00F54AC8" w:rsidRDefault="00F54AC8" w:rsidP="00F54AC8">
      <w:pPr>
        <w:widowControl w:val="0"/>
        <w:tabs>
          <w:tab w:val="left" w:pos="-1800"/>
          <w:tab w:val="left" w:pos="-1092"/>
          <w:tab w:val="left" w:pos="-384"/>
          <w:tab w:val="left" w:pos="324"/>
          <w:tab w:val="left" w:pos="1032"/>
          <w:tab w:val="left" w:pos="1740"/>
          <w:tab w:val="left" w:pos="2454"/>
          <w:tab w:val="left" w:pos="3162"/>
          <w:tab w:val="left" w:pos="3870"/>
          <w:tab w:val="left" w:pos="4578"/>
          <w:tab w:val="left" w:pos="5286"/>
          <w:tab w:val="left" w:pos="5994"/>
          <w:tab w:val="left" w:pos="6708"/>
          <w:tab w:val="left" w:pos="7416"/>
          <w:tab w:val="left" w:pos="8124"/>
        </w:tabs>
        <w:spacing w:after="120"/>
        <w:jc w:val="both"/>
        <w:rPr>
          <w:rFonts w:ascii="Arial" w:hAnsi="Arial" w:cs="Arial"/>
          <w:sz w:val="20"/>
          <w:szCs w:val="20"/>
        </w:rPr>
      </w:pPr>
      <w:r w:rsidRPr="00F54AC8">
        <w:rPr>
          <w:rFonts w:ascii="Arial" w:hAnsi="Arial" w:cs="Arial"/>
          <w:sz w:val="20"/>
          <w:szCs w:val="20"/>
        </w:rPr>
        <w:t xml:space="preserve">Il campo di osservazione della rilevazione è costituito dall’insieme degli incidenti stradali verbalizzati da un’autorità di polizia, verificatisi sul territorio nazionale nell’arco di un anno solare, che hanno causato lesioni alle persone (morti entro i 30 giorni o feriti). </w:t>
      </w:r>
    </w:p>
    <w:p w14:paraId="2B622AB7" w14:textId="77777777" w:rsidR="00F54AC8" w:rsidRPr="00F54AC8" w:rsidRDefault="00F54AC8" w:rsidP="00F54AC8">
      <w:pPr>
        <w:widowControl w:val="0"/>
        <w:tabs>
          <w:tab w:val="left" w:pos="-1800"/>
          <w:tab w:val="left" w:pos="-1092"/>
          <w:tab w:val="left" w:pos="-384"/>
          <w:tab w:val="left" w:pos="324"/>
          <w:tab w:val="left" w:pos="1032"/>
          <w:tab w:val="left" w:pos="1740"/>
          <w:tab w:val="left" w:pos="2454"/>
          <w:tab w:val="left" w:pos="3162"/>
          <w:tab w:val="left" w:pos="3870"/>
          <w:tab w:val="left" w:pos="4578"/>
          <w:tab w:val="left" w:pos="5286"/>
          <w:tab w:val="left" w:pos="5994"/>
          <w:tab w:val="left" w:pos="6708"/>
          <w:tab w:val="left" w:pos="7416"/>
          <w:tab w:val="left" w:pos="8124"/>
        </w:tabs>
        <w:spacing w:after="120"/>
        <w:jc w:val="both"/>
        <w:rPr>
          <w:rFonts w:ascii="Arial" w:hAnsi="Arial" w:cs="Arial"/>
          <w:sz w:val="20"/>
          <w:szCs w:val="20"/>
        </w:rPr>
      </w:pPr>
      <w:r w:rsidRPr="00F54AC8">
        <w:rPr>
          <w:rFonts w:ascii="Arial" w:hAnsi="Arial" w:cs="Arial"/>
          <w:sz w:val="20"/>
          <w:szCs w:val="20"/>
        </w:rPr>
        <w:t xml:space="preserve">Le norme internazionali (Commissione europea, Eurostat, OCSE, ECE, ecc.), recepite dal nostro Paese, definiscono l’incidente stradale come “quell’evento in cui è coinvolto almeno un veicolo in circolazione sulla rete stradale e che comporti danni alle persone” (Conferenza di Vienna, 1968). Rientrano pertanto nel campo di osservazione tutti gli incidenti stradali verificatisi nelle vie o piazze aperte alla pubblica circolazione, nei quali risultano coinvolti veicoli fermi o in movimento e dai quali siano derivate lesioni a persone. Sono esclusi dalla rilevazione i sinistri da cui non sono derivate lesioni alle persone, quelli che non si sono verificati nelle aree aperte alla pubblica circolazione, e i sinistri in cui non risultano coinvolti veicoli. </w:t>
      </w:r>
    </w:p>
    <w:p w14:paraId="700D7DD4" w14:textId="77777777" w:rsidR="00F54AC8" w:rsidRPr="00F54AC8" w:rsidRDefault="00F54AC8" w:rsidP="00F54AC8">
      <w:pPr>
        <w:widowControl w:val="0"/>
        <w:tabs>
          <w:tab w:val="left" w:pos="-1800"/>
          <w:tab w:val="left" w:pos="-1092"/>
          <w:tab w:val="left" w:pos="-384"/>
          <w:tab w:val="left" w:pos="324"/>
          <w:tab w:val="left" w:pos="1032"/>
          <w:tab w:val="left" w:pos="1740"/>
          <w:tab w:val="left" w:pos="2454"/>
          <w:tab w:val="left" w:pos="3162"/>
          <w:tab w:val="left" w:pos="3870"/>
          <w:tab w:val="left" w:pos="4578"/>
          <w:tab w:val="left" w:pos="5286"/>
          <w:tab w:val="left" w:pos="5994"/>
          <w:tab w:val="left" w:pos="6708"/>
          <w:tab w:val="left" w:pos="7416"/>
          <w:tab w:val="left" w:pos="8124"/>
        </w:tabs>
        <w:spacing w:after="120"/>
        <w:jc w:val="both"/>
        <w:rPr>
          <w:rFonts w:ascii="Arial" w:hAnsi="Arial" w:cs="Arial"/>
          <w:sz w:val="20"/>
          <w:szCs w:val="20"/>
        </w:rPr>
      </w:pPr>
      <w:r w:rsidRPr="00F54AC8">
        <w:rPr>
          <w:rFonts w:ascii="Arial" w:hAnsi="Arial" w:cs="Arial"/>
          <w:sz w:val="20"/>
          <w:szCs w:val="20"/>
        </w:rPr>
        <w:t>L’unità di rilevazione è il singolo incidente stradale con lesioni a persone. La rilevazione è riferita</w:t>
      </w:r>
      <w:r w:rsidRPr="00F54AC8">
        <w:rPr>
          <w:rFonts w:ascii="Arial" w:hAnsi="Arial" w:cs="Arial"/>
          <w:b/>
          <w:sz w:val="20"/>
          <w:szCs w:val="20"/>
        </w:rPr>
        <w:t xml:space="preserve"> </w:t>
      </w:r>
      <w:r w:rsidRPr="00F54AC8">
        <w:rPr>
          <w:rFonts w:ascii="Arial" w:hAnsi="Arial" w:cs="Arial"/>
          <w:sz w:val="20"/>
          <w:szCs w:val="20"/>
        </w:rPr>
        <w:t xml:space="preserve">al momento in cui l’incidente si è verificato. </w:t>
      </w:r>
    </w:p>
    <w:p w14:paraId="4328796E" w14:textId="77777777" w:rsidR="008F317B" w:rsidRDefault="008F317B" w:rsidP="00F54AC8">
      <w:pPr>
        <w:spacing w:after="120"/>
        <w:jc w:val="both"/>
        <w:rPr>
          <w:rFonts w:ascii="Arial" w:hAnsi="Arial" w:cs="Arial"/>
          <w:sz w:val="20"/>
          <w:szCs w:val="20"/>
        </w:rPr>
      </w:pPr>
      <w:r>
        <w:rPr>
          <w:rFonts w:ascii="Arial" w:hAnsi="Arial" w:cs="Arial"/>
          <w:sz w:val="20"/>
          <w:szCs w:val="20"/>
        </w:rPr>
        <w:br w:type="page"/>
      </w:r>
    </w:p>
    <w:p w14:paraId="5CDBFBA6" w14:textId="77777777" w:rsidR="008F317B" w:rsidRDefault="008F317B" w:rsidP="00F54AC8">
      <w:pPr>
        <w:spacing w:after="120"/>
        <w:jc w:val="both"/>
        <w:rPr>
          <w:rFonts w:ascii="Arial" w:hAnsi="Arial" w:cs="Arial"/>
          <w:sz w:val="20"/>
          <w:szCs w:val="20"/>
        </w:rPr>
      </w:pPr>
    </w:p>
    <w:p w14:paraId="50A11591" w14:textId="4D712059" w:rsidR="00F54AC8" w:rsidRDefault="00F54AC8" w:rsidP="00F54AC8">
      <w:pPr>
        <w:spacing w:after="120"/>
        <w:jc w:val="both"/>
        <w:rPr>
          <w:rFonts w:ascii="Arial" w:hAnsi="Arial" w:cs="Arial"/>
          <w:sz w:val="20"/>
          <w:szCs w:val="20"/>
        </w:rPr>
      </w:pPr>
      <w:r w:rsidRPr="00F54AC8">
        <w:rPr>
          <w:rFonts w:ascii="Arial" w:hAnsi="Arial" w:cs="Arial"/>
          <w:sz w:val="20"/>
          <w:szCs w:val="20"/>
        </w:rPr>
        <w:t>I risultati dell’indagine sono pubblicati regolarmente dal 1952. L’indagine è stata più volte ristrutturata. In particolare, nel 1991 l’Istituto ha provveduto ad uniformare il concetto di incidente stradale alle definizioni internazionali: viene interrotta la registrazione degli incidenti stradali che non comportano danni alle persone e considerati solo gli incidenti con lesioni a persone. Inoltre, a decorrere dal 1° gennaio 1999, è stata adeguata la definizione di “morto in incidente stradale”, includendo tutte le persone decedute sul colpo o entro il trentesimo giorno a partire da quello in cui si è verificato l’incidente. Fino al 31 dicembre 1998 la contabilizzazione dei decessi considerava invece solo quelli avvenuti entro sette giorni dal momento del sinistro stradale.</w:t>
      </w:r>
    </w:p>
    <w:p w14:paraId="04D83635" w14:textId="77777777" w:rsidR="00F54AC8" w:rsidRPr="00F54AC8" w:rsidRDefault="00F54AC8" w:rsidP="00F54AC8">
      <w:pPr>
        <w:spacing w:after="120"/>
        <w:jc w:val="both"/>
        <w:rPr>
          <w:rFonts w:ascii="Arial" w:hAnsi="Arial" w:cs="Arial"/>
          <w:sz w:val="20"/>
          <w:szCs w:val="20"/>
        </w:rPr>
      </w:pPr>
    </w:p>
    <w:p w14:paraId="4EC536B7" w14:textId="77777777" w:rsidR="00F54AC8" w:rsidRPr="00F54AC8" w:rsidRDefault="00F54AC8" w:rsidP="00F54AC8">
      <w:pPr>
        <w:spacing w:after="120"/>
        <w:ind w:left="426"/>
        <w:jc w:val="both"/>
        <w:rPr>
          <w:rFonts w:ascii="Arial" w:hAnsi="Arial" w:cs="Arial"/>
          <w:sz w:val="20"/>
          <w:szCs w:val="20"/>
        </w:rPr>
      </w:pPr>
      <w:r w:rsidRPr="00F54AC8">
        <w:rPr>
          <w:rFonts w:ascii="Arial" w:hAnsi="Arial" w:cs="Arial"/>
          <w:sz w:val="20"/>
          <w:szCs w:val="20"/>
        </w:rPr>
        <w:t>Le principali caratteristiche rilevate sono:</w:t>
      </w:r>
    </w:p>
    <w:p w14:paraId="7ED0D88D" w14:textId="77777777" w:rsidR="00F54AC8" w:rsidRPr="00F54AC8" w:rsidRDefault="00F54AC8" w:rsidP="00F54AC8">
      <w:pPr>
        <w:numPr>
          <w:ilvl w:val="0"/>
          <w:numId w:val="41"/>
        </w:numPr>
        <w:ind w:left="426" w:hanging="425"/>
        <w:jc w:val="both"/>
        <w:rPr>
          <w:rFonts w:ascii="Arial" w:hAnsi="Arial" w:cs="Arial"/>
          <w:snapToGrid w:val="0"/>
          <w:sz w:val="20"/>
          <w:szCs w:val="20"/>
        </w:rPr>
      </w:pPr>
      <w:r w:rsidRPr="00F54AC8">
        <w:rPr>
          <w:rFonts w:ascii="Arial" w:hAnsi="Arial" w:cs="Arial"/>
          <w:snapToGrid w:val="0"/>
          <w:sz w:val="20"/>
          <w:szCs w:val="20"/>
        </w:rPr>
        <w:t>Data, ora</w:t>
      </w:r>
      <w:r w:rsidRPr="00F54AC8">
        <w:rPr>
          <w:rFonts w:ascii="Arial" w:hAnsi="Arial" w:cs="Arial"/>
          <w:snapToGrid w:val="0"/>
          <w:sz w:val="20"/>
          <w:szCs w:val="20"/>
          <w:vertAlign w:val="superscript"/>
        </w:rPr>
        <w:footnoteReference w:id="4"/>
      </w:r>
      <w:r w:rsidRPr="00F54AC8">
        <w:rPr>
          <w:rFonts w:ascii="Arial" w:hAnsi="Arial" w:cs="Arial"/>
          <w:snapToGrid w:val="0"/>
          <w:sz w:val="20"/>
          <w:szCs w:val="20"/>
        </w:rPr>
        <w:t xml:space="preserve"> e località dell’incidente</w:t>
      </w:r>
    </w:p>
    <w:p w14:paraId="2D10A3C4" w14:textId="77777777" w:rsidR="00F54AC8" w:rsidRPr="00F54AC8" w:rsidRDefault="00F54AC8" w:rsidP="00F54AC8">
      <w:pPr>
        <w:numPr>
          <w:ilvl w:val="0"/>
          <w:numId w:val="41"/>
        </w:numPr>
        <w:ind w:left="426" w:hanging="425"/>
        <w:jc w:val="both"/>
        <w:rPr>
          <w:rFonts w:ascii="Arial" w:hAnsi="Arial" w:cs="Arial"/>
          <w:snapToGrid w:val="0"/>
          <w:sz w:val="20"/>
          <w:szCs w:val="20"/>
        </w:rPr>
      </w:pPr>
      <w:r w:rsidRPr="00F54AC8">
        <w:rPr>
          <w:rFonts w:ascii="Arial" w:hAnsi="Arial" w:cs="Arial"/>
          <w:snapToGrid w:val="0"/>
          <w:sz w:val="20"/>
          <w:szCs w:val="20"/>
        </w:rPr>
        <w:t>Organo di rilevazione</w:t>
      </w:r>
    </w:p>
    <w:p w14:paraId="72676A7F" w14:textId="77777777" w:rsidR="00F54AC8" w:rsidRPr="00F54AC8" w:rsidRDefault="00F54AC8" w:rsidP="00F54AC8">
      <w:pPr>
        <w:numPr>
          <w:ilvl w:val="0"/>
          <w:numId w:val="41"/>
        </w:numPr>
        <w:ind w:left="426" w:hanging="425"/>
        <w:jc w:val="both"/>
        <w:rPr>
          <w:rFonts w:ascii="Arial" w:hAnsi="Arial" w:cs="Arial"/>
          <w:snapToGrid w:val="0"/>
          <w:sz w:val="20"/>
          <w:szCs w:val="20"/>
        </w:rPr>
      </w:pPr>
      <w:r w:rsidRPr="00F54AC8">
        <w:rPr>
          <w:rFonts w:ascii="Arial" w:hAnsi="Arial" w:cs="Arial"/>
          <w:snapToGrid w:val="0"/>
          <w:sz w:val="20"/>
          <w:szCs w:val="20"/>
        </w:rPr>
        <w:t xml:space="preserve">Localizzazione dell’incidente </w:t>
      </w:r>
    </w:p>
    <w:p w14:paraId="046D713E" w14:textId="77777777" w:rsidR="00F54AC8" w:rsidRPr="00F54AC8" w:rsidRDefault="00F54AC8" w:rsidP="00F54AC8">
      <w:pPr>
        <w:numPr>
          <w:ilvl w:val="0"/>
          <w:numId w:val="41"/>
        </w:numPr>
        <w:ind w:left="426" w:hanging="425"/>
        <w:jc w:val="both"/>
        <w:rPr>
          <w:rFonts w:ascii="Arial" w:hAnsi="Arial" w:cs="Arial"/>
          <w:snapToGrid w:val="0"/>
          <w:sz w:val="20"/>
          <w:szCs w:val="20"/>
        </w:rPr>
      </w:pPr>
      <w:r w:rsidRPr="00F54AC8">
        <w:rPr>
          <w:rFonts w:ascii="Arial" w:hAnsi="Arial" w:cs="Arial"/>
          <w:snapToGrid w:val="0"/>
          <w:sz w:val="20"/>
          <w:szCs w:val="20"/>
        </w:rPr>
        <w:t xml:space="preserve">Tipo di strada, </w:t>
      </w:r>
    </w:p>
    <w:p w14:paraId="759E0899" w14:textId="77777777" w:rsidR="00F54AC8" w:rsidRPr="00F54AC8" w:rsidRDefault="00F54AC8" w:rsidP="00F54AC8">
      <w:pPr>
        <w:numPr>
          <w:ilvl w:val="0"/>
          <w:numId w:val="41"/>
        </w:numPr>
        <w:ind w:left="426" w:hanging="425"/>
        <w:jc w:val="both"/>
        <w:rPr>
          <w:rFonts w:ascii="Arial" w:hAnsi="Arial" w:cs="Arial"/>
          <w:snapToGrid w:val="0"/>
          <w:sz w:val="20"/>
          <w:szCs w:val="20"/>
        </w:rPr>
      </w:pPr>
      <w:r w:rsidRPr="00F54AC8">
        <w:rPr>
          <w:rFonts w:ascii="Arial" w:hAnsi="Arial" w:cs="Arial"/>
          <w:snapToGrid w:val="0"/>
          <w:sz w:val="20"/>
          <w:szCs w:val="20"/>
        </w:rPr>
        <w:t xml:space="preserve">Pavimentazione </w:t>
      </w:r>
    </w:p>
    <w:p w14:paraId="4ABCD4CF" w14:textId="77777777" w:rsidR="00F54AC8" w:rsidRPr="00F54AC8" w:rsidRDefault="00F54AC8" w:rsidP="00F54AC8">
      <w:pPr>
        <w:numPr>
          <w:ilvl w:val="0"/>
          <w:numId w:val="41"/>
        </w:numPr>
        <w:ind w:left="426" w:hanging="425"/>
        <w:jc w:val="both"/>
        <w:rPr>
          <w:rFonts w:ascii="Arial" w:hAnsi="Arial" w:cs="Arial"/>
          <w:snapToGrid w:val="0"/>
          <w:sz w:val="20"/>
          <w:szCs w:val="20"/>
        </w:rPr>
      </w:pPr>
      <w:r w:rsidRPr="00F54AC8">
        <w:rPr>
          <w:rFonts w:ascii="Arial" w:hAnsi="Arial" w:cs="Arial"/>
          <w:snapToGrid w:val="0"/>
          <w:sz w:val="20"/>
          <w:szCs w:val="20"/>
        </w:rPr>
        <w:t>Fondo stradale</w:t>
      </w:r>
    </w:p>
    <w:p w14:paraId="493CF386" w14:textId="77777777" w:rsidR="00F54AC8" w:rsidRPr="00F54AC8" w:rsidRDefault="00F54AC8" w:rsidP="00F54AC8">
      <w:pPr>
        <w:numPr>
          <w:ilvl w:val="0"/>
          <w:numId w:val="41"/>
        </w:numPr>
        <w:ind w:left="426" w:hanging="425"/>
        <w:jc w:val="both"/>
        <w:rPr>
          <w:rFonts w:ascii="Arial" w:hAnsi="Arial" w:cs="Arial"/>
          <w:snapToGrid w:val="0"/>
          <w:sz w:val="20"/>
          <w:szCs w:val="20"/>
        </w:rPr>
      </w:pPr>
      <w:r w:rsidRPr="00F54AC8">
        <w:rPr>
          <w:rFonts w:ascii="Arial" w:hAnsi="Arial" w:cs="Arial"/>
          <w:snapToGrid w:val="0"/>
          <w:sz w:val="20"/>
          <w:szCs w:val="20"/>
        </w:rPr>
        <w:t>Segnaletica</w:t>
      </w:r>
    </w:p>
    <w:p w14:paraId="42572BDA" w14:textId="77777777" w:rsidR="00F54AC8" w:rsidRPr="00F54AC8" w:rsidRDefault="00F54AC8" w:rsidP="00F54AC8">
      <w:pPr>
        <w:numPr>
          <w:ilvl w:val="0"/>
          <w:numId w:val="41"/>
        </w:numPr>
        <w:ind w:left="426" w:hanging="425"/>
        <w:jc w:val="both"/>
        <w:rPr>
          <w:rFonts w:ascii="Arial" w:hAnsi="Arial" w:cs="Arial"/>
          <w:snapToGrid w:val="0"/>
          <w:sz w:val="20"/>
          <w:szCs w:val="20"/>
        </w:rPr>
      </w:pPr>
      <w:r w:rsidRPr="00F54AC8">
        <w:rPr>
          <w:rFonts w:ascii="Arial" w:hAnsi="Arial" w:cs="Arial"/>
          <w:snapToGrid w:val="0"/>
          <w:sz w:val="20"/>
          <w:szCs w:val="20"/>
        </w:rPr>
        <w:t>Condizioni meteorologiche</w:t>
      </w:r>
    </w:p>
    <w:p w14:paraId="253A31AC" w14:textId="77777777" w:rsidR="00F54AC8" w:rsidRPr="00F54AC8" w:rsidRDefault="00F54AC8" w:rsidP="00F54AC8">
      <w:pPr>
        <w:numPr>
          <w:ilvl w:val="0"/>
          <w:numId w:val="41"/>
        </w:numPr>
        <w:ind w:left="426" w:hanging="425"/>
        <w:jc w:val="both"/>
        <w:rPr>
          <w:rFonts w:ascii="Arial" w:hAnsi="Arial" w:cs="Arial"/>
          <w:snapToGrid w:val="0"/>
          <w:sz w:val="20"/>
          <w:szCs w:val="20"/>
        </w:rPr>
      </w:pPr>
      <w:r w:rsidRPr="00F54AC8">
        <w:rPr>
          <w:rFonts w:ascii="Arial" w:hAnsi="Arial" w:cs="Arial"/>
          <w:snapToGrid w:val="0"/>
          <w:sz w:val="20"/>
          <w:szCs w:val="20"/>
        </w:rPr>
        <w:t>Natura dell’incidente (scontro, fuoriuscita, investimento, ecc.)</w:t>
      </w:r>
    </w:p>
    <w:p w14:paraId="44906767" w14:textId="77777777" w:rsidR="00F54AC8" w:rsidRPr="00F54AC8" w:rsidRDefault="00F54AC8" w:rsidP="00F54AC8">
      <w:pPr>
        <w:numPr>
          <w:ilvl w:val="0"/>
          <w:numId w:val="41"/>
        </w:numPr>
        <w:ind w:left="426" w:hanging="425"/>
        <w:jc w:val="both"/>
        <w:rPr>
          <w:rFonts w:ascii="Arial" w:hAnsi="Arial" w:cs="Arial"/>
          <w:snapToGrid w:val="0"/>
          <w:sz w:val="20"/>
          <w:szCs w:val="20"/>
        </w:rPr>
      </w:pPr>
      <w:r w:rsidRPr="00F54AC8">
        <w:rPr>
          <w:rFonts w:ascii="Arial" w:hAnsi="Arial" w:cs="Arial"/>
          <w:snapToGrid w:val="0"/>
          <w:sz w:val="20"/>
          <w:szCs w:val="20"/>
        </w:rPr>
        <w:t>Tipo di veicoli coinvolti</w:t>
      </w:r>
    </w:p>
    <w:p w14:paraId="72DBC50A" w14:textId="77777777" w:rsidR="00F54AC8" w:rsidRPr="00F54AC8" w:rsidRDefault="00F54AC8" w:rsidP="00F54AC8">
      <w:pPr>
        <w:numPr>
          <w:ilvl w:val="0"/>
          <w:numId w:val="41"/>
        </w:numPr>
        <w:ind w:left="426" w:hanging="425"/>
        <w:jc w:val="both"/>
        <w:rPr>
          <w:rFonts w:ascii="Arial" w:hAnsi="Arial" w:cs="Arial"/>
          <w:snapToGrid w:val="0"/>
          <w:sz w:val="20"/>
          <w:szCs w:val="20"/>
        </w:rPr>
      </w:pPr>
      <w:r w:rsidRPr="00F54AC8">
        <w:rPr>
          <w:rFonts w:ascii="Arial" w:hAnsi="Arial" w:cs="Arial"/>
          <w:snapToGrid w:val="0"/>
          <w:sz w:val="20"/>
          <w:szCs w:val="20"/>
        </w:rPr>
        <w:t>Conseguenze dell’incidente alle persone</w:t>
      </w:r>
    </w:p>
    <w:p w14:paraId="7422FCAD" w14:textId="77777777" w:rsidR="00F54AC8" w:rsidRPr="00F54AC8" w:rsidRDefault="00F54AC8" w:rsidP="00F54AC8">
      <w:pPr>
        <w:numPr>
          <w:ilvl w:val="0"/>
          <w:numId w:val="41"/>
        </w:numPr>
        <w:ind w:left="426" w:hanging="425"/>
        <w:jc w:val="both"/>
        <w:rPr>
          <w:rFonts w:ascii="Arial" w:hAnsi="Arial" w:cs="Arial"/>
          <w:snapToGrid w:val="0"/>
          <w:sz w:val="20"/>
          <w:szCs w:val="20"/>
        </w:rPr>
      </w:pPr>
      <w:r w:rsidRPr="00F54AC8">
        <w:rPr>
          <w:rFonts w:ascii="Arial" w:hAnsi="Arial" w:cs="Arial"/>
          <w:snapToGrid w:val="0"/>
          <w:sz w:val="20"/>
          <w:szCs w:val="20"/>
        </w:rPr>
        <w:t>Nominativi dei morti, dei feriti e Istituto di ricovero</w:t>
      </w:r>
    </w:p>
    <w:p w14:paraId="7D447659" w14:textId="77777777" w:rsidR="00F54AC8" w:rsidRPr="00F54AC8" w:rsidRDefault="00F54AC8" w:rsidP="00F54AC8">
      <w:pPr>
        <w:numPr>
          <w:ilvl w:val="0"/>
          <w:numId w:val="41"/>
        </w:numPr>
        <w:ind w:left="426" w:hanging="425"/>
        <w:jc w:val="both"/>
        <w:rPr>
          <w:rFonts w:ascii="Arial" w:hAnsi="Arial" w:cs="Arial"/>
          <w:snapToGrid w:val="0"/>
          <w:sz w:val="20"/>
          <w:szCs w:val="20"/>
        </w:rPr>
      </w:pPr>
      <w:r w:rsidRPr="00F54AC8">
        <w:rPr>
          <w:rFonts w:ascii="Arial" w:hAnsi="Arial" w:cs="Arial"/>
          <w:snapToGrid w:val="0"/>
          <w:sz w:val="20"/>
          <w:szCs w:val="20"/>
        </w:rPr>
        <w:t>Dati anagrafici di conducenti, trasportati e pedoni</w:t>
      </w:r>
    </w:p>
    <w:p w14:paraId="467D3E20" w14:textId="77777777" w:rsidR="00F54AC8" w:rsidRPr="00F54AC8" w:rsidRDefault="00F54AC8" w:rsidP="00F54AC8">
      <w:pPr>
        <w:keepNext/>
        <w:numPr>
          <w:ilvl w:val="0"/>
          <w:numId w:val="41"/>
        </w:numPr>
        <w:tabs>
          <w:tab w:val="num" w:pos="426"/>
        </w:tabs>
        <w:ind w:left="0" w:firstLine="0"/>
        <w:jc w:val="both"/>
        <w:outlineLvl w:val="0"/>
        <w:rPr>
          <w:rFonts w:ascii="Arial" w:hAnsi="Arial" w:cs="Arial"/>
          <w:snapToGrid w:val="0"/>
          <w:sz w:val="20"/>
          <w:szCs w:val="20"/>
        </w:rPr>
      </w:pPr>
      <w:r w:rsidRPr="00F54AC8">
        <w:rPr>
          <w:rFonts w:ascii="Arial" w:hAnsi="Arial" w:cs="Arial"/>
          <w:snapToGrid w:val="0"/>
          <w:sz w:val="20"/>
          <w:szCs w:val="20"/>
        </w:rPr>
        <w:t>Circostanze dell’incidente</w:t>
      </w:r>
    </w:p>
    <w:p w14:paraId="4DC52CF6" w14:textId="77777777" w:rsidR="00F54AC8" w:rsidRPr="00F54AC8" w:rsidRDefault="00F54AC8" w:rsidP="00F54AC8">
      <w:pPr>
        <w:jc w:val="both"/>
        <w:rPr>
          <w:rFonts w:ascii="Arial" w:hAnsi="Arial" w:cs="Arial"/>
          <w:snapToGrid w:val="0"/>
          <w:sz w:val="20"/>
          <w:szCs w:val="20"/>
        </w:rPr>
      </w:pPr>
    </w:p>
    <w:p w14:paraId="205AC351" w14:textId="77777777" w:rsidR="00F54AC8" w:rsidRPr="00F54AC8" w:rsidRDefault="00F54AC8" w:rsidP="00F54AC8">
      <w:pPr>
        <w:widowControl w:val="0"/>
        <w:tabs>
          <w:tab w:val="left" w:pos="-1800"/>
          <w:tab w:val="left" w:pos="-1092"/>
          <w:tab w:val="left" w:pos="-384"/>
          <w:tab w:val="left" w:pos="324"/>
          <w:tab w:val="left" w:pos="1032"/>
          <w:tab w:val="left" w:pos="1740"/>
          <w:tab w:val="left" w:pos="2454"/>
          <w:tab w:val="left" w:pos="3162"/>
          <w:tab w:val="left" w:pos="3870"/>
          <w:tab w:val="left" w:pos="4578"/>
          <w:tab w:val="left" w:pos="5286"/>
          <w:tab w:val="left" w:pos="5994"/>
          <w:tab w:val="left" w:pos="6708"/>
          <w:tab w:val="left" w:pos="7416"/>
          <w:tab w:val="left" w:pos="8124"/>
        </w:tabs>
        <w:spacing w:after="120"/>
        <w:jc w:val="both"/>
        <w:rPr>
          <w:rFonts w:ascii="Arial" w:hAnsi="Arial"/>
          <w:b/>
          <w:bCs/>
          <w:sz w:val="22"/>
          <w:szCs w:val="22"/>
        </w:rPr>
      </w:pPr>
      <w:r w:rsidRPr="00F54AC8">
        <w:rPr>
          <w:rFonts w:ascii="Arial" w:hAnsi="Arial"/>
          <w:b/>
          <w:bCs/>
          <w:sz w:val="22"/>
          <w:szCs w:val="22"/>
        </w:rPr>
        <w:t>Raccolta dei dati</w:t>
      </w:r>
    </w:p>
    <w:p w14:paraId="5503CE1F" w14:textId="77777777" w:rsidR="00F54AC8" w:rsidRPr="00F54AC8" w:rsidRDefault="00F54AC8" w:rsidP="00F54AC8">
      <w:pPr>
        <w:spacing w:after="120"/>
        <w:jc w:val="both"/>
        <w:rPr>
          <w:rFonts w:ascii="Arial" w:hAnsi="Arial" w:cs="Arial"/>
          <w:sz w:val="20"/>
          <w:szCs w:val="20"/>
        </w:rPr>
      </w:pPr>
      <w:r w:rsidRPr="00F54AC8">
        <w:rPr>
          <w:rFonts w:ascii="Arial" w:hAnsi="Arial" w:cs="Arial"/>
          <w:sz w:val="20"/>
          <w:szCs w:val="20"/>
        </w:rPr>
        <w:t>La rilevazione, analogamente a quanto accade negli altri Paesi europei, è eseguita con la collaborazione di Organi pubblici a competenza locale (Polizia Stradale, Carabinieri, Polizia locale o municipale, Polizia provinciale e altri organismi) che hanno in via istituzionale la possibilità di raccogliere gli elementi caratteristici degli incidenti stradali verbalizzati. La rilevazione viene effettuata attraverso la registrazione dei dati e l’invio di un file contenente le informazioni concordate con Istat o mediante compilazione del questionario cartaceo (modello Istat CTT/INC).</w:t>
      </w:r>
    </w:p>
    <w:p w14:paraId="0E0750FC" w14:textId="77777777" w:rsidR="00F54AC8" w:rsidRPr="00F54AC8" w:rsidRDefault="00F54AC8" w:rsidP="00F54AC8">
      <w:pPr>
        <w:spacing w:after="120"/>
        <w:jc w:val="both"/>
        <w:rPr>
          <w:rFonts w:ascii="Arial" w:hAnsi="Arial"/>
          <w:iCs/>
          <w:sz w:val="20"/>
          <w:szCs w:val="20"/>
        </w:rPr>
      </w:pPr>
      <w:r w:rsidRPr="00F54AC8">
        <w:rPr>
          <w:rFonts w:ascii="Arial" w:hAnsi="Arial"/>
          <w:iCs/>
          <w:sz w:val="20"/>
          <w:szCs w:val="20"/>
        </w:rPr>
        <w:t>Il flusso di indagine standard prevede una periodicità mensile di trasmissione, con invio entro 45 giorni dal termine del mese di rilevazione. Esistono però, ad oggi, diverse modalità e tempistica di invio regolamentate dagli accordi specifici in essere con i diversi Organismi locali. In particolare, la tempistica richiesta di invio dei dati a Istat, per le Regioni e Province aderenti a Protocollo di Intesa o Convenzioni, è a cadenza trimestrale alle date 30/4, 31/7, 31/10, 31/1 e prevede l’invio del dato consolidato annuale (riferito all’anno precedente) entro il 31/5 di ogni anno. Il dato inviato trimestralmente è da considerarsi come dato preliminare da aggiornarsi con le informazioni consolidate in fasi successive.</w:t>
      </w:r>
    </w:p>
    <w:p w14:paraId="49BA7F3B" w14:textId="77777777" w:rsidR="00F54AC8" w:rsidRPr="00F54AC8" w:rsidRDefault="00F54AC8" w:rsidP="00F54AC8">
      <w:pPr>
        <w:spacing w:after="120"/>
        <w:jc w:val="both"/>
        <w:rPr>
          <w:rFonts w:ascii="Arial" w:hAnsi="Arial" w:cs="Arial"/>
          <w:sz w:val="20"/>
          <w:szCs w:val="20"/>
        </w:rPr>
      </w:pPr>
      <w:r w:rsidRPr="00F54AC8">
        <w:rPr>
          <w:rFonts w:ascii="Arial" w:hAnsi="Arial" w:cs="Arial"/>
          <w:sz w:val="20"/>
          <w:szCs w:val="20"/>
        </w:rPr>
        <w:t xml:space="preserve">Per quanto concerne i </w:t>
      </w:r>
      <w:r w:rsidRPr="00F54AC8">
        <w:rPr>
          <w:rFonts w:ascii="Arial" w:hAnsi="Arial" w:cs="Arial"/>
          <w:i/>
          <w:sz w:val="20"/>
          <w:szCs w:val="20"/>
        </w:rPr>
        <w:t>nuovi modelli organizzativi</w:t>
      </w:r>
      <w:r w:rsidRPr="00F54AC8">
        <w:rPr>
          <w:rFonts w:ascii="Arial" w:hAnsi="Arial" w:cs="Arial"/>
          <w:sz w:val="20"/>
          <w:szCs w:val="20"/>
        </w:rPr>
        <w:t xml:space="preserve"> adottati, a partire dal 1999 l’Istat ha valorizzato forme di collaborazione a livello locale che hanno consentito agli operatori provinciali o regionali di partecipare attivamente alla fase di rilevazione. Questo indirizzo è stato poi consolidato dalla necessità di coinvolgere nella rilevazione i Centri di Monitoraggio Regionali e Provinciali, istituiti a partire dal 2002 a seguito delle nuove disposizioni del Programma Nazionale di Sicurezza Stradale. Tra i compiti di tali centri figurano infatti il miglioramento della completezza, la qualità e la tempestività della rilevazione degli incidenti stradali.</w:t>
      </w:r>
    </w:p>
    <w:p w14:paraId="12AFD04E" w14:textId="77777777" w:rsidR="00F54AC8" w:rsidRPr="00F54AC8" w:rsidRDefault="00F54AC8" w:rsidP="00F54AC8">
      <w:pPr>
        <w:spacing w:after="120"/>
        <w:jc w:val="both"/>
        <w:rPr>
          <w:rFonts w:ascii="Arial" w:hAnsi="Arial" w:cs="Arial"/>
          <w:sz w:val="20"/>
          <w:szCs w:val="20"/>
        </w:rPr>
      </w:pPr>
      <w:r w:rsidRPr="00F54AC8">
        <w:rPr>
          <w:rFonts w:ascii="Arial" w:hAnsi="Arial" w:cs="Arial"/>
          <w:sz w:val="20"/>
          <w:szCs w:val="20"/>
        </w:rPr>
        <w:t xml:space="preserve">A seguito della necessità di far fronte all’esigenza sempre crescente delle Amministrazioni locali di avere a disposizione dati preliminari per la programmazione di interventi mirati ed efficaci in materia di sicurezza stradale, nel dicembre 2007 è stato stipulato un primo “Protocollo di Intesa per il coordinamento delle attività inerenti la rilevazione statistica sull’incidentalità stradale”. Alla conclusione della fase di sperimentazione delle attività di decentramento ha fatto seguito, nel luglio 2011, un nuovo Protocollo di intesa, rinnovato poi nel 2015, nel 2016 e nel 2020. Gli Enti e gli Organismi firmatari sono l’Istat, il Ministero dell’Interno, il Ministero della Difesa, il Ministero dei Trasporti, la Conferenza delle Regioni e delle Province autonome, l’Unione delle Province d’Italia e l’Associazione Nazionale dei Comuni d’Italia. </w:t>
      </w:r>
    </w:p>
    <w:p w14:paraId="25F08F7B" w14:textId="77777777" w:rsidR="008F317B" w:rsidRDefault="008F317B" w:rsidP="00F54AC8">
      <w:pPr>
        <w:spacing w:after="120"/>
        <w:jc w:val="both"/>
        <w:rPr>
          <w:rFonts w:ascii="Arial" w:hAnsi="Arial" w:cs="Arial"/>
          <w:sz w:val="20"/>
          <w:szCs w:val="20"/>
        </w:rPr>
      </w:pPr>
    </w:p>
    <w:p w14:paraId="639C64A9" w14:textId="77777777" w:rsidR="008F317B" w:rsidRDefault="008F317B" w:rsidP="00F54AC8">
      <w:pPr>
        <w:spacing w:after="120"/>
        <w:jc w:val="both"/>
        <w:rPr>
          <w:rFonts w:ascii="Arial" w:hAnsi="Arial" w:cs="Arial"/>
          <w:sz w:val="20"/>
          <w:szCs w:val="20"/>
        </w:rPr>
      </w:pPr>
    </w:p>
    <w:p w14:paraId="7DD6F9F4" w14:textId="0DBB403F" w:rsidR="00F54AC8" w:rsidRPr="00F54AC8" w:rsidRDefault="00F54AC8" w:rsidP="00F54AC8">
      <w:pPr>
        <w:spacing w:after="120"/>
        <w:jc w:val="both"/>
        <w:rPr>
          <w:rFonts w:ascii="Arial" w:hAnsi="Arial" w:cs="Arial"/>
          <w:sz w:val="20"/>
          <w:szCs w:val="20"/>
        </w:rPr>
      </w:pPr>
      <w:r w:rsidRPr="00F54AC8">
        <w:rPr>
          <w:rFonts w:ascii="Arial" w:hAnsi="Arial" w:cs="Arial"/>
          <w:sz w:val="20"/>
          <w:szCs w:val="20"/>
        </w:rPr>
        <w:t xml:space="preserve">A partire dal 2015, infine, esiste la possibilità di adesione al Protocollo di intesa anche per le Province, per i Comuni capoluogo di provincia, per i Comuni con più di 50mila abitanti e per le Città metropolitane </w:t>
      </w:r>
    </w:p>
    <w:p w14:paraId="3B3FF9A1" w14:textId="77777777" w:rsidR="00F54AC8" w:rsidRPr="00F54AC8" w:rsidRDefault="00F54AC8" w:rsidP="00F54AC8">
      <w:pPr>
        <w:spacing w:after="120"/>
        <w:jc w:val="both"/>
        <w:rPr>
          <w:rFonts w:ascii="Arial" w:hAnsi="Arial" w:cs="Arial"/>
          <w:sz w:val="20"/>
          <w:szCs w:val="20"/>
        </w:rPr>
      </w:pPr>
      <w:r w:rsidRPr="00F54AC8">
        <w:rPr>
          <w:rFonts w:ascii="Arial" w:hAnsi="Arial" w:cs="Arial"/>
          <w:sz w:val="20"/>
          <w:szCs w:val="20"/>
        </w:rPr>
        <w:t xml:space="preserve">Le Regioni che hanno attuato, ad oggi, il decentramento delle attività di raccolta e monitoraggio, nell’ambito dell’accordo e adottano un </w:t>
      </w:r>
      <w:r w:rsidRPr="00F54AC8">
        <w:rPr>
          <w:rFonts w:ascii="Arial" w:hAnsi="Arial" w:cs="Arial"/>
          <w:b/>
          <w:sz w:val="20"/>
          <w:szCs w:val="20"/>
        </w:rPr>
        <w:t>modello decentrato informatizzato su base regionale</w:t>
      </w:r>
      <w:r w:rsidRPr="00F54AC8">
        <w:rPr>
          <w:rFonts w:ascii="Arial" w:hAnsi="Arial" w:cs="Arial"/>
          <w:szCs w:val="20"/>
        </w:rPr>
        <w:t xml:space="preserve"> </w:t>
      </w:r>
      <w:r w:rsidRPr="00F54AC8">
        <w:rPr>
          <w:rFonts w:ascii="Arial" w:hAnsi="Arial" w:cs="Arial"/>
          <w:sz w:val="20"/>
          <w:szCs w:val="20"/>
        </w:rPr>
        <w:t xml:space="preserve">sono, in ordine di adesione: Toscana, Piemonte, Lombardia, Emilia-Romagna, Puglia, Friuli Venezia Giulia, Veneto, Liguria, Calabria e Lazio. Effettuano la gestione decentrata di tutte le fasi del processo di indagine anche le Province Autonome di Bolzano e di Trento. </w:t>
      </w:r>
    </w:p>
    <w:p w14:paraId="20587639" w14:textId="77777777" w:rsidR="00F54AC8" w:rsidRPr="00F54AC8" w:rsidRDefault="00F54AC8" w:rsidP="00F54AC8">
      <w:pPr>
        <w:spacing w:after="120"/>
        <w:jc w:val="both"/>
        <w:rPr>
          <w:rFonts w:ascii="Arial" w:hAnsi="Arial" w:cs="Arial"/>
          <w:sz w:val="20"/>
          <w:szCs w:val="20"/>
        </w:rPr>
      </w:pPr>
      <w:r w:rsidRPr="00F54AC8">
        <w:rPr>
          <w:rFonts w:ascii="Arial" w:hAnsi="Arial" w:cs="Arial"/>
          <w:sz w:val="20"/>
          <w:szCs w:val="20"/>
        </w:rPr>
        <w:t>Al fine di migliorare la qualità dell’informazione statistica dei dati degli incidenti stradali, oltre alla raccolta e alla registrazione, anche le operazioni di controllo quali-quantitativo e di informatizzazione dei dati presso i comuni delle regioni Abruzzo, Basilicata, Campania, Marche, Molise e Umbria, sono supportate dalla Direzione Raccolta Dati - Servizio Raccolta dati per le statistiche demografiche, sociali e welfare.</w:t>
      </w:r>
    </w:p>
    <w:p w14:paraId="7CBC2F49" w14:textId="77777777" w:rsidR="00F54AC8" w:rsidRPr="00F54AC8" w:rsidRDefault="00F54AC8" w:rsidP="00F54AC8">
      <w:pPr>
        <w:spacing w:after="120"/>
        <w:jc w:val="both"/>
        <w:rPr>
          <w:rFonts w:ascii="Arial" w:hAnsi="Arial" w:cs="Arial"/>
          <w:sz w:val="20"/>
          <w:szCs w:val="20"/>
        </w:rPr>
      </w:pPr>
      <w:r w:rsidRPr="00F54AC8">
        <w:rPr>
          <w:rFonts w:ascii="Arial" w:hAnsi="Arial" w:cs="Arial"/>
          <w:sz w:val="20"/>
          <w:szCs w:val="20"/>
        </w:rPr>
        <w:t xml:space="preserve">Per il 2021, in Valle d’Aosta, Sicilia e Sardegna si segue il </w:t>
      </w:r>
      <w:r w:rsidRPr="00F54AC8">
        <w:rPr>
          <w:rFonts w:ascii="Arial" w:hAnsi="Arial" w:cs="Arial"/>
          <w:b/>
          <w:sz w:val="20"/>
          <w:szCs w:val="20"/>
        </w:rPr>
        <w:t xml:space="preserve">modello standard informatizzato </w:t>
      </w:r>
      <w:r w:rsidRPr="00F54AC8">
        <w:rPr>
          <w:rFonts w:ascii="Arial" w:hAnsi="Arial" w:cs="Arial"/>
          <w:sz w:val="20"/>
          <w:szCs w:val="20"/>
        </w:rPr>
        <w:t xml:space="preserve">della rilevazione: pertanto i comandi delle Polizie Municipali o Locali trasmettono all’Istat i dati informatizzati o registrano le informazioni tramite il portale Istat GINO (Gestioni Indagini On Line), l’Istat ha, invece, il compito di seguire le successive fasi dell’indagine (Figura 1). </w:t>
      </w:r>
    </w:p>
    <w:p w14:paraId="5A6F07C4" w14:textId="77777777" w:rsidR="00F54AC8" w:rsidRPr="00F54AC8" w:rsidRDefault="00F54AC8" w:rsidP="00F54AC8">
      <w:pPr>
        <w:spacing w:after="120"/>
        <w:jc w:val="both"/>
        <w:rPr>
          <w:rFonts w:ascii="Arial" w:hAnsi="Arial" w:cs="Arial"/>
          <w:sz w:val="20"/>
          <w:szCs w:val="20"/>
        </w:rPr>
      </w:pPr>
      <w:r w:rsidRPr="00F54AC8">
        <w:rPr>
          <w:rFonts w:ascii="Arial" w:hAnsi="Arial" w:cs="Arial"/>
          <w:sz w:val="20"/>
          <w:szCs w:val="20"/>
        </w:rPr>
        <w:t xml:space="preserve">Per i dati provenienti dalla Polizia Stradale e dai Carabinieri si è adottato un </w:t>
      </w:r>
      <w:r w:rsidRPr="00F54AC8">
        <w:rPr>
          <w:rFonts w:ascii="Arial" w:hAnsi="Arial" w:cs="Arial"/>
          <w:b/>
          <w:sz w:val="20"/>
          <w:szCs w:val="20"/>
        </w:rPr>
        <w:t>modello decentrato informatizzato su base nazionale</w:t>
      </w:r>
      <w:r w:rsidRPr="00F54AC8">
        <w:rPr>
          <w:rFonts w:ascii="Arial" w:hAnsi="Arial" w:cs="Arial"/>
          <w:sz w:val="20"/>
          <w:szCs w:val="20"/>
        </w:rPr>
        <w:t>: pertanto all’Istat vengono trasferiti, con cadenza trimestrale o mensile, tutti i dati degli incidenti stradali con lesione a persone verificatesi sul territorio nazionale rilevati dalla Polizia Stradale o dai Carabinieri. Per i dati provenienti dalle Polizia Municipale o Locale viene utilizzato sia il modello decentrato sia quello standard (Figura A).</w:t>
      </w:r>
    </w:p>
    <w:p w14:paraId="7089DAF8" w14:textId="77777777" w:rsidR="00F54AC8" w:rsidRPr="00F54AC8" w:rsidRDefault="00F54AC8" w:rsidP="00F54AC8">
      <w:pPr>
        <w:spacing w:after="120"/>
        <w:jc w:val="both"/>
        <w:rPr>
          <w:rFonts w:ascii="Arial" w:hAnsi="Arial" w:cs="Arial"/>
          <w:sz w:val="20"/>
          <w:szCs w:val="20"/>
        </w:rPr>
      </w:pPr>
    </w:p>
    <w:p w14:paraId="73A24417" w14:textId="77777777" w:rsidR="00F54AC8" w:rsidRPr="00F54AC8" w:rsidRDefault="00F54AC8" w:rsidP="00F54AC8">
      <w:pPr>
        <w:spacing w:after="120"/>
        <w:jc w:val="both"/>
        <w:rPr>
          <w:rFonts w:ascii="Arial" w:hAnsi="Arial" w:cs="Arial"/>
          <w:b/>
          <w:bCs/>
          <w:i/>
          <w:sz w:val="22"/>
          <w:szCs w:val="22"/>
        </w:rPr>
      </w:pPr>
      <w:r w:rsidRPr="00F54AC8">
        <w:rPr>
          <w:rFonts w:ascii="Arial Narrow" w:hAnsi="Arial Narrow" w:cs="Arial"/>
          <w:b/>
          <w:color w:val="7F7F7F"/>
          <w:sz w:val="20"/>
          <w:szCs w:val="20"/>
        </w:rPr>
        <w:t>FIGURA A. LA RILEVAZIONE DEGLI INCIDENTI STRADALI CON LESIONI A PERSONE: I FLUSSI DI RILEVAZIONE E DI INVIO DATI ALL’ISTAT STANDARD E DECENTRATO</w:t>
      </w:r>
    </w:p>
    <w:p w14:paraId="331B2B0E" w14:textId="77777777" w:rsidR="00F54AC8" w:rsidRPr="00F54AC8" w:rsidRDefault="00F54AC8" w:rsidP="00F54AC8">
      <w:pPr>
        <w:ind w:left="567"/>
        <w:jc w:val="both"/>
        <w:rPr>
          <w:rFonts w:ascii="Arial" w:hAnsi="Arial" w:cs="Arial"/>
          <w:bCs/>
          <w:sz w:val="20"/>
          <w:szCs w:val="20"/>
        </w:rPr>
      </w:pPr>
      <w:r w:rsidRPr="00F54AC8">
        <w:rPr>
          <w:rFonts w:ascii="Arial" w:hAnsi="Arial" w:cs="Arial"/>
          <w:bCs/>
          <w:noProof/>
          <w:sz w:val="20"/>
          <w:szCs w:val="20"/>
        </w:rPr>
        <w:drawing>
          <wp:inline distT="0" distB="0" distL="0" distR="0" wp14:anchorId="1A314A78" wp14:editId="70029257">
            <wp:extent cx="5200650" cy="2971800"/>
            <wp:effectExtent l="0" t="0" r="0" b="0"/>
            <wp:docPr id="49" name="Immagine 49"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 49" descr="Immagine che contiene tavolo&#10;&#10;Descrizione generata automa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1935" cy="2978249"/>
                    </a:xfrm>
                    <a:prstGeom prst="rect">
                      <a:avLst/>
                    </a:prstGeom>
                    <a:noFill/>
                  </pic:spPr>
                </pic:pic>
              </a:graphicData>
            </a:graphic>
          </wp:inline>
        </w:drawing>
      </w:r>
    </w:p>
    <w:p w14:paraId="344F85F0" w14:textId="77777777" w:rsidR="00F54AC8" w:rsidRPr="00F54AC8" w:rsidRDefault="00F54AC8" w:rsidP="00F54AC8">
      <w:pPr>
        <w:widowControl w:val="0"/>
        <w:tabs>
          <w:tab w:val="left" w:pos="-1800"/>
          <w:tab w:val="left" w:pos="-1092"/>
          <w:tab w:val="left" w:pos="-384"/>
          <w:tab w:val="left" w:pos="324"/>
          <w:tab w:val="left" w:pos="1032"/>
          <w:tab w:val="left" w:pos="1740"/>
          <w:tab w:val="left" w:pos="2454"/>
          <w:tab w:val="left" w:pos="3162"/>
          <w:tab w:val="left" w:pos="3870"/>
          <w:tab w:val="left" w:pos="4578"/>
          <w:tab w:val="left" w:pos="5286"/>
          <w:tab w:val="left" w:pos="5994"/>
          <w:tab w:val="left" w:pos="6708"/>
          <w:tab w:val="left" w:pos="7416"/>
          <w:tab w:val="left" w:pos="8124"/>
        </w:tabs>
        <w:spacing w:after="120"/>
        <w:jc w:val="both"/>
        <w:rPr>
          <w:rFonts w:ascii="Arial" w:hAnsi="Arial"/>
          <w:b/>
          <w:bCs/>
          <w:sz w:val="22"/>
          <w:szCs w:val="22"/>
        </w:rPr>
      </w:pPr>
    </w:p>
    <w:p w14:paraId="69D21776" w14:textId="77777777" w:rsidR="00F54AC8" w:rsidRPr="00F54AC8" w:rsidRDefault="00F54AC8" w:rsidP="00F54AC8">
      <w:pPr>
        <w:widowControl w:val="0"/>
        <w:tabs>
          <w:tab w:val="left" w:pos="-1800"/>
          <w:tab w:val="left" w:pos="-1092"/>
          <w:tab w:val="left" w:pos="-384"/>
          <w:tab w:val="left" w:pos="324"/>
          <w:tab w:val="left" w:pos="1032"/>
          <w:tab w:val="left" w:pos="1740"/>
          <w:tab w:val="left" w:pos="2454"/>
          <w:tab w:val="left" w:pos="3162"/>
          <w:tab w:val="left" w:pos="3870"/>
          <w:tab w:val="left" w:pos="4578"/>
          <w:tab w:val="left" w:pos="5286"/>
          <w:tab w:val="left" w:pos="5994"/>
          <w:tab w:val="left" w:pos="6708"/>
          <w:tab w:val="left" w:pos="7416"/>
          <w:tab w:val="left" w:pos="8124"/>
        </w:tabs>
        <w:spacing w:after="120"/>
        <w:jc w:val="both"/>
        <w:rPr>
          <w:rFonts w:ascii="Arial" w:hAnsi="Arial"/>
          <w:b/>
          <w:bCs/>
          <w:sz w:val="22"/>
          <w:szCs w:val="22"/>
        </w:rPr>
      </w:pPr>
      <w:r w:rsidRPr="00F54AC8">
        <w:rPr>
          <w:rFonts w:ascii="Arial" w:hAnsi="Arial"/>
          <w:b/>
          <w:bCs/>
          <w:sz w:val="22"/>
          <w:szCs w:val="22"/>
        </w:rPr>
        <w:t>Tecniche e strumenti di elaborazione dei dati</w:t>
      </w:r>
    </w:p>
    <w:p w14:paraId="3BDAEA73" w14:textId="77777777" w:rsidR="00F54AC8" w:rsidRPr="00F54AC8" w:rsidRDefault="00F54AC8" w:rsidP="00F54AC8">
      <w:pPr>
        <w:spacing w:after="120"/>
        <w:jc w:val="both"/>
        <w:rPr>
          <w:rFonts w:ascii="Arial" w:hAnsi="Arial" w:cs="Arial"/>
          <w:sz w:val="20"/>
          <w:szCs w:val="20"/>
        </w:rPr>
      </w:pPr>
      <w:r w:rsidRPr="00F54AC8">
        <w:rPr>
          <w:rFonts w:ascii="Arial" w:hAnsi="Arial" w:cs="Arial"/>
          <w:sz w:val="20"/>
          <w:szCs w:val="20"/>
        </w:rPr>
        <w:t>Il controllo e la correzione dei dati sono effettuati seguendo diversi passi e prevedono una fase preliminare di verifica della congruenza delle informazioni contenute in ciascun “record incidente”. Successivamente vengono applicati metodi deterministici e tecniche probabilistiche per la correzione degli errori.</w:t>
      </w:r>
    </w:p>
    <w:p w14:paraId="58611CC9" w14:textId="77777777" w:rsidR="00F54AC8" w:rsidRPr="00F54AC8" w:rsidRDefault="00F54AC8" w:rsidP="00F54AC8">
      <w:pPr>
        <w:spacing w:after="120"/>
        <w:jc w:val="both"/>
        <w:rPr>
          <w:rFonts w:ascii="Arial" w:hAnsi="Arial" w:cs="Arial"/>
          <w:sz w:val="20"/>
          <w:szCs w:val="20"/>
        </w:rPr>
      </w:pPr>
      <w:r w:rsidRPr="00F54AC8">
        <w:rPr>
          <w:rFonts w:ascii="Arial" w:hAnsi="Arial" w:cs="Arial"/>
          <w:sz w:val="20"/>
          <w:szCs w:val="20"/>
        </w:rPr>
        <w:t xml:space="preserve">Il passaggio principale della procedura di correzione dei dati sugli incidenti stradali è rappresentato dall’applicazione del </w:t>
      </w:r>
      <w:r w:rsidRPr="00F54AC8">
        <w:rPr>
          <w:rFonts w:ascii="Arial" w:hAnsi="Arial" w:cs="Arial"/>
          <w:i/>
          <w:sz w:val="20"/>
          <w:szCs w:val="20"/>
        </w:rPr>
        <w:t>software</w:t>
      </w:r>
      <w:r w:rsidRPr="00F54AC8">
        <w:rPr>
          <w:rFonts w:ascii="Arial" w:hAnsi="Arial" w:cs="Arial"/>
          <w:sz w:val="20"/>
          <w:szCs w:val="20"/>
        </w:rPr>
        <w:t xml:space="preserve"> generalizzato </w:t>
      </w:r>
      <w:proofErr w:type="spellStart"/>
      <w:r w:rsidRPr="00F54AC8">
        <w:rPr>
          <w:rFonts w:ascii="Arial" w:hAnsi="Arial" w:cs="Arial"/>
          <w:sz w:val="20"/>
          <w:szCs w:val="20"/>
        </w:rPr>
        <w:t>Con.Cor.D</w:t>
      </w:r>
      <w:proofErr w:type="spellEnd"/>
      <w:r w:rsidRPr="00F54AC8">
        <w:rPr>
          <w:rFonts w:ascii="Arial" w:hAnsi="Arial" w:cs="Arial"/>
          <w:sz w:val="20"/>
          <w:szCs w:val="20"/>
        </w:rPr>
        <w:t xml:space="preserve">. (Controllo e Correzione dei Dati), utilizzato dall’Istat a partire dal 2000. Lo strumento consente di suddividere le variabili da sottoporre a controllo e correzione in sottogruppi e di identificare un adeguato trattamento basato su approccio deterministico o probabilistico. Per ogni gruppo di variabili da analizzare sono previsti set di regole di compatibilità. </w:t>
      </w:r>
    </w:p>
    <w:p w14:paraId="209A3126" w14:textId="77777777" w:rsidR="00F54AC8" w:rsidRPr="00F54AC8" w:rsidRDefault="00F54AC8" w:rsidP="00F54AC8">
      <w:pPr>
        <w:spacing w:after="120"/>
        <w:jc w:val="both"/>
        <w:rPr>
          <w:rFonts w:ascii="Arial" w:hAnsi="Arial" w:cs="Arial"/>
          <w:sz w:val="20"/>
          <w:szCs w:val="20"/>
        </w:rPr>
      </w:pPr>
      <w:r w:rsidRPr="00F54AC8">
        <w:rPr>
          <w:rFonts w:ascii="Arial" w:hAnsi="Arial" w:cs="Arial"/>
          <w:sz w:val="20"/>
          <w:szCs w:val="20"/>
        </w:rPr>
        <w:t xml:space="preserve">Nel caso di applicazione di approccio deterministico, oltre all’elenco delle regole di compatibilità, si dispone anche dell’elenco delle relative correzioni da apportare quando le stesse regole vengono infrante. </w:t>
      </w:r>
    </w:p>
    <w:p w14:paraId="1D61BCEB" w14:textId="77777777" w:rsidR="008F317B" w:rsidRDefault="008F317B" w:rsidP="00F54AC8">
      <w:pPr>
        <w:spacing w:after="120"/>
        <w:jc w:val="both"/>
        <w:rPr>
          <w:rFonts w:ascii="Arial" w:hAnsi="Arial" w:cs="Arial"/>
          <w:sz w:val="20"/>
          <w:szCs w:val="20"/>
        </w:rPr>
      </w:pPr>
    </w:p>
    <w:p w14:paraId="565C4862" w14:textId="537DD503" w:rsidR="00F54AC8" w:rsidRPr="00F54AC8" w:rsidRDefault="00F54AC8" w:rsidP="00F54AC8">
      <w:pPr>
        <w:spacing w:after="120"/>
        <w:jc w:val="both"/>
        <w:rPr>
          <w:rFonts w:ascii="Arial" w:hAnsi="Arial" w:cs="Arial"/>
          <w:sz w:val="20"/>
          <w:szCs w:val="20"/>
        </w:rPr>
      </w:pPr>
      <w:r w:rsidRPr="00F54AC8">
        <w:rPr>
          <w:rFonts w:ascii="Arial" w:hAnsi="Arial" w:cs="Arial"/>
          <w:sz w:val="20"/>
          <w:szCs w:val="20"/>
        </w:rPr>
        <w:t xml:space="preserve">Nel caso di utilizzo di tecniche di correzione probabilistica e di successiva imputazione dei valori errati o mancanti, il sistema suddivide i record in esatti ed errati, secondo le logiche di compatibilità, successivamente cancella i valori errati delle variabili considerate e imputa i valori corretti prendendoli di volta in volta da un record donatore, contenuto nel serbatoio degli esatti, identificandolo secondo il principio di minima distanza (metodologia di </w:t>
      </w:r>
      <w:proofErr w:type="spellStart"/>
      <w:r w:rsidRPr="00F54AC8">
        <w:rPr>
          <w:rFonts w:ascii="Arial" w:hAnsi="Arial" w:cs="Arial"/>
          <w:sz w:val="20"/>
          <w:szCs w:val="20"/>
        </w:rPr>
        <w:t>Fellegi-Holt</w:t>
      </w:r>
      <w:proofErr w:type="spellEnd"/>
      <w:r w:rsidRPr="00F54AC8">
        <w:rPr>
          <w:rFonts w:ascii="Arial" w:hAnsi="Arial" w:cs="Arial"/>
          <w:sz w:val="20"/>
          <w:szCs w:val="20"/>
        </w:rPr>
        <w:t xml:space="preserve">). L’intero ciclo di correzione viene ripetuto più volte. </w:t>
      </w:r>
    </w:p>
    <w:p w14:paraId="2D51BFAE" w14:textId="298410D7" w:rsidR="00F54AC8" w:rsidRPr="00F54AC8" w:rsidRDefault="00F54AC8" w:rsidP="00F54AC8">
      <w:pPr>
        <w:jc w:val="both"/>
        <w:rPr>
          <w:rFonts w:ascii="Arial" w:hAnsi="Arial" w:cs="Arial"/>
          <w:sz w:val="20"/>
          <w:szCs w:val="20"/>
        </w:rPr>
      </w:pPr>
      <w:r w:rsidRPr="00F54AC8">
        <w:rPr>
          <w:rFonts w:ascii="Arial" w:hAnsi="Arial" w:cs="Arial"/>
          <w:sz w:val="20"/>
          <w:szCs w:val="20"/>
        </w:rPr>
        <w:t>Nel caso di mancate risposte totali per le quali si è in possesso delle sole informazioni sulla numerosità degli incidenti stradali, morti e feriti avvenuti in un determinato Comune e mese di riferimento, si procede alla ricostruzione del singolo record incidente servendosi di un bacino donatori rappresentato dai record dall’anno più vicino, con la corrispondenza tra i giorni del mese e della settimana analoga a quella dell’anno considerato. Gli incidenti stradali, infatti, sono molto sensibili a stagionalità mensile e settimanale; pertanto, occorre tenerne conto nella fase di ricostruzione.</w:t>
      </w:r>
    </w:p>
    <w:p w14:paraId="34333527" w14:textId="77777777" w:rsidR="00F54AC8" w:rsidRPr="00F54AC8" w:rsidRDefault="00F54AC8" w:rsidP="00F54AC8">
      <w:pPr>
        <w:widowControl w:val="0"/>
        <w:tabs>
          <w:tab w:val="left" w:pos="-1800"/>
          <w:tab w:val="left" w:pos="-1092"/>
          <w:tab w:val="left" w:pos="-384"/>
          <w:tab w:val="left" w:pos="324"/>
          <w:tab w:val="left" w:pos="1032"/>
          <w:tab w:val="left" w:pos="1740"/>
          <w:tab w:val="left" w:pos="2454"/>
          <w:tab w:val="left" w:pos="3162"/>
          <w:tab w:val="left" w:pos="3870"/>
          <w:tab w:val="left" w:pos="4578"/>
          <w:tab w:val="left" w:pos="5286"/>
          <w:tab w:val="left" w:pos="5994"/>
          <w:tab w:val="left" w:pos="6708"/>
          <w:tab w:val="left" w:pos="7416"/>
          <w:tab w:val="left" w:pos="8124"/>
        </w:tabs>
        <w:spacing w:after="120"/>
        <w:jc w:val="both"/>
        <w:rPr>
          <w:rFonts w:ascii="Arial" w:hAnsi="Arial"/>
          <w:b/>
          <w:bCs/>
          <w:sz w:val="22"/>
          <w:szCs w:val="22"/>
        </w:rPr>
      </w:pPr>
    </w:p>
    <w:p w14:paraId="2B8AE2D3" w14:textId="77777777" w:rsidR="00F54AC8" w:rsidRPr="00F54AC8" w:rsidRDefault="00F54AC8" w:rsidP="00F54AC8">
      <w:pPr>
        <w:widowControl w:val="0"/>
        <w:tabs>
          <w:tab w:val="left" w:pos="-1800"/>
          <w:tab w:val="left" w:pos="-1092"/>
          <w:tab w:val="left" w:pos="-384"/>
          <w:tab w:val="left" w:pos="324"/>
          <w:tab w:val="left" w:pos="1032"/>
          <w:tab w:val="left" w:pos="1740"/>
          <w:tab w:val="left" w:pos="2454"/>
          <w:tab w:val="left" w:pos="3162"/>
          <w:tab w:val="left" w:pos="3870"/>
          <w:tab w:val="left" w:pos="4578"/>
          <w:tab w:val="left" w:pos="5286"/>
          <w:tab w:val="left" w:pos="5994"/>
          <w:tab w:val="left" w:pos="6708"/>
          <w:tab w:val="left" w:pos="7416"/>
          <w:tab w:val="left" w:pos="8124"/>
        </w:tabs>
        <w:spacing w:after="120"/>
        <w:jc w:val="both"/>
        <w:rPr>
          <w:rFonts w:ascii="Arial" w:hAnsi="Arial"/>
          <w:b/>
          <w:bCs/>
          <w:sz w:val="22"/>
          <w:szCs w:val="22"/>
        </w:rPr>
      </w:pPr>
      <w:r w:rsidRPr="00F54AC8">
        <w:rPr>
          <w:rFonts w:ascii="Arial" w:hAnsi="Arial"/>
          <w:b/>
          <w:bCs/>
          <w:sz w:val="22"/>
          <w:szCs w:val="22"/>
        </w:rPr>
        <w:t>Output: principali indicatori e unità di misura</w:t>
      </w:r>
    </w:p>
    <w:p w14:paraId="0A2C8156" w14:textId="77777777" w:rsidR="00F54AC8" w:rsidRPr="00F54AC8" w:rsidRDefault="00F54AC8" w:rsidP="00F54AC8">
      <w:pPr>
        <w:spacing w:after="120"/>
        <w:jc w:val="both"/>
        <w:rPr>
          <w:rFonts w:ascii="Arial" w:hAnsi="Arial" w:cs="Arial"/>
          <w:sz w:val="20"/>
          <w:szCs w:val="20"/>
        </w:rPr>
      </w:pPr>
      <w:r w:rsidRPr="00F54AC8">
        <w:rPr>
          <w:rFonts w:ascii="Arial" w:hAnsi="Arial" w:cs="Arial"/>
          <w:sz w:val="20"/>
          <w:szCs w:val="20"/>
        </w:rPr>
        <w:t xml:space="preserve">La lettura dei dati assoluti sul numero di incidenti stradali con lesioni a persone, verificatisi sull’intera rete stradale italiana o su un particolare tratto, fornisce un’informazione parziale che occorre valorizzare per meglio interpretare il fenomeno; si rende necessario, infatti, arricchire tale informazione con indicatori sintetici che ne diano una misura relativa. </w:t>
      </w:r>
    </w:p>
    <w:p w14:paraId="686A7B0F" w14:textId="77777777" w:rsidR="00F54AC8" w:rsidRPr="00F54AC8" w:rsidRDefault="00F54AC8" w:rsidP="00F54AC8">
      <w:pPr>
        <w:widowControl w:val="0"/>
        <w:numPr>
          <w:ilvl w:val="0"/>
          <w:numId w:val="44"/>
        </w:numPr>
        <w:spacing w:after="120"/>
        <w:jc w:val="both"/>
        <w:rPr>
          <w:rFonts w:ascii="Arial" w:hAnsi="Arial"/>
          <w:sz w:val="20"/>
          <w:szCs w:val="20"/>
        </w:rPr>
      </w:pPr>
      <w:r w:rsidRPr="00F54AC8">
        <w:rPr>
          <w:rFonts w:ascii="Arial" w:hAnsi="Arial"/>
          <w:sz w:val="20"/>
          <w:szCs w:val="20"/>
        </w:rPr>
        <w:t xml:space="preserve">Feriti gravi in incidenti stradali </w:t>
      </w:r>
      <w:r w:rsidRPr="00F54AC8">
        <w:rPr>
          <w:rFonts w:ascii="Arial" w:hAnsi="Arial"/>
          <w:b/>
          <w:sz w:val="20"/>
          <w:szCs w:val="20"/>
        </w:rPr>
        <w:t>FG</w:t>
      </w:r>
      <w:r w:rsidRPr="00F54AC8">
        <w:rPr>
          <w:rFonts w:ascii="Arial" w:hAnsi="Arial"/>
          <w:sz w:val="20"/>
          <w:szCs w:val="20"/>
        </w:rPr>
        <w:t>:</w:t>
      </w:r>
    </w:p>
    <w:p w14:paraId="57FFDED7" w14:textId="77777777" w:rsidR="00F54AC8" w:rsidRPr="00F54AC8" w:rsidRDefault="00F54AC8" w:rsidP="00F54AC8">
      <w:pPr>
        <w:spacing w:after="120"/>
        <w:jc w:val="both"/>
        <w:rPr>
          <w:rFonts w:ascii="Arial" w:hAnsi="Arial" w:cs="Arial"/>
          <w:i/>
          <w:sz w:val="20"/>
          <w:szCs w:val="20"/>
          <w:lang w:val="en-US"/>
        </w:rPr>
      </w:pPr>
      <w:r w:rsidRPr="00F54AC8">
        <w:rPr>
          <w:rFonts w:ascii="Arial" w:hAnsi="Arial" w:cs="Arial"/>
          <w:sz w:val="20"/>
          <w:szCs w:val="20"/>
        </w:rPr>
        <w:t>Per la definizione di ferito grave in incidente stradale e per la classificazione dei livelli di gravità delle lesioni è stato proposto dalla Commissione europea l’utilizzo dell’esistente scala dei traumi AIS (</w:t>
      </w:r>
      <w:proofErr w:type="spellStart"/>
      <w:r w:rsidRPr="00F54AC8">
        <w:rPr>
          <w:rFonts w:ascii="Arial" w:hAnsi="Arial" w:cs="Arial"/>
          <w:i/>
          <w:sz w:val="20"/>
          <w:szCs w:val="20"/>
        </w:rPr>
        <w:t>Abbreviated</w:t>
      </w:r>
      <w:proofErr w:type="spellEnd"/>
      <w:r w:rsidRPr="00F54AC8">
        <w:rPr>
          <w:rFonts w:ascii="Arial" w:hAnsi="Arial" w:cs="Arial"/>
          <w:i/>
          <w:sz w:val="20"/>
          <w:szCs w:val="20"/>
        </w:rPr>
        <w:t xml:space="preserve"> </w:t>
      </w:r>
      <w:proofErr w:type="spellStart"/>
      <w:r w:rsidRPr="00F54AC8">
        <w:rPr>
          <w:rFonts w:ascii="Arial" w:hAnsi="Arial" w:cs="Arial"/>
          <w:i/>
          <w:sz w:val="20"/>
          <w:szCs w:val="20"/>
        </w:rPr>
        <w:t>Injury</w:t>
      </w:r>
      <w:proofErr w:type="spellEnd"/>
      <w:r w:rsidRPr="00F54AC8">
        <w:rPr>
          <w:rFonts w:ascii="Arial" w:hAnsi="Arial" w:cs="Arial"/>
          <w:i/>
          <w:sz w:val="20"/>
          <w:szCs w:val="20"/>
        </w:rPr>
        <w:t xml:space="preserve"> Scale</w:t>
      </w:r>
      <w:r w:rsidRPr="00F54AC8">
        <w:rPr>
          <w:rFonts w:ascii="Arial" w:hAnsi="Arial" w:cs="Arial"/>
          <w:sz w:val="20"/>
          <w:szCs w:val="20"/>
        </w:rPr>
        <w:t>) e in particolare della sua variante MAIS (</w:t>
      </w:r>
      <w:r w:rsidRPr="00F54AC8">
        <w:rPr>
          <w:rFonts w:ascii="Arial" w:hAnsi="Arial" w:cs="Arial"/>
          <w:i/>
          <w:sz w:val="20"/>
          <w:szCs w:val="20"/>
        </w:rPr>
        <w:t xml:space="preserve">Maximum </w:t>
      </w:r>
      <w:proofErr w:type="spellStart"/>
      <w:r w:rsidRPr="00F54AC8">
        <w:rPr>
          <w:rFonts w:ascii="Arial" w:hAnsi="Arial" w:cs="Arial"/>
          <w:i/>
          <w:sz w:val="20"/>
          <w:szCs w:val="20"/>
        </w:rPr>
        <w:t>Abbreviated</w:t>
      </w:r>
      <w:proofErr w:type="spellEnd"/>
      <w:r w:rsidRPr="00F54AC8">
        <w:rPr>
          <w:rFonts w:ascii="Arial" w:hAnsi="Arial" w:cs="Arial"/>
          <w:i/>
          <w:sz w:val="20"/>
          <w:szCs w:val="20"/>
        </w:rPr>
        <w:t xml:space="preserve"> </w:t>
      </w:r>
      <w:proofErr w:type="spellStart"/>
      <w:r w:rsidRPr="00F54AC8">
        <w:rPr>
          <w:rFonts w:ascii="Arial" w:hAnsi="Arial" w:cs="Arial"/>
          <w:i/>
          <w:sz w:val="20"/>
          <w:szCs w:val="20"/>
        </w:rPr>
        <w:t>Injury</w:t>
      </w:r>
      <w:proofErr w:type="spellEnd"/>
      <w:r w:rsidRPr="00F54AC8">
        <w:rPr>
          <w:rFonts w:ascii="Arial" w:hAnsi="Arial" w:cs="Arial"/>
          <w:i/>
          <w:sz w:val="20"/>
          <w:szCs w:val="20"/>
        </w:rPr>
        <w:t xml:space="preserve"> Scale</w:t>
      </w:r>
      <w:r w:rsidRPr="00F54AC8">
        <w:rPr>
          <w:rFonts w:ascii="Arial" w:hAnsi="Arial" w:cs="Arial"/>
          <w:sz w:val="20"/>
          <w:szCs w:val="20"/>
        </w:rPr>
        <w:t xml:space="preserve">). L’AIS è una scala di misurazione che consente di attribuire un punteggio alla gravità complessiva della lesione, stabilita tenendo in considerazione la rilevanza delle singole lesioni riportate e la regione del corpo colpita. Il livello di gravità viene misurato mediante una scala ordinale a 6 punti. Le lesioni gravi sono individuate con il punteggio MAIS 3+, ossia, il massimo valore AIS uguale o superiore a 3. </w:t>
      </w:r>
      <w:r w:rsidRPr="00F54AC8">
        <w:rPr>
          <w:rFonts w:ascii="Arial" w:hAnsi="Arial" w:cs="Arial"/>
          <w:i/>
          <w:sz w:val="20"/>
          <w:szCs w:val="20"/>
          <w:lang w:val="en-US"/>
        </w:rPr>
        <w:t>(Copyright AIS di Association for the Advancement of Automotive Medicine - AAAM).</w:t>
      </w:r>
    </w:p>
    <w:p w14:paraId="0E14C9A2" w14:textId="77777777" w:rsidR="00F54AC8" w:rsidRPr="00F54AC8" w:rsidRDefault="00F54AC8" w:rsidP="00F54AC8">
      <w:pPr>
        <w:jc w:val="both"/>
        <w:rPr>
          <w:rFonts w:ascii="Arial" w:hAnsi="Arial" w:cs="Arial"/>
          <w:sz w:val="20"/>
          <w:szCs w:val="20"/>
        </w:rPr>
      </w:pPr>
      <w:r w:rsidRPr="00F54AC8">
        <w:rPr>
          <w:rFonts w:ascii="Arial" w:hAnsi="Arial" w:cs="Arial"/>
          <w:sz w:val="20"/>
          <w:szCs w:val="20"/>
        </w:rPr>
        <w:t xml:space="preserve">- Tasso di mortalità stradale (numero di morti per incidente stradale nel corso dell’anno per milione, o 100mila abitanti) </w:t>
      </w:r>
      <w:r w:rsidRPr="00F54AC8">
        <w:rPr>
          <w:rFonts w:ascii="Arial" w:hAnsi="Arial" w:cs="Arial"/>
          <w:b/>
          <w:sz w:val="20"/>
          <w:szCs w:val="20"/>
        </w:rPr>
        <w:t>TM</w:t>
      </w:r>
      <w:r w:rsidRPr="00F54AC8">
        <w:rPr>
          <w:rFonts w:ascii="Arial" w:hAnsi="Arial" w:cs="Arial"/>
          <w:sz w:val="20"/>
          <w:szCs w:val="20"/>
        </w:rPr>
        <w:t>:</w:t>
      </w:r>
    </w:p>
    <w:p w14:paraId="4E87F210" w14:textId="77777777" w:rsidR="00F54AC8" w:rsidRPr="00F54AC8" w:rsidRDefault="00F54AC8" w:rsidP="00F54AC8">
      <w:pPr>
        <w:spacing w:after="80"/>
        <w:jc w:val="center"/>
        <w:rPr>
          <w:rFonts w:ascii="Arial" w:hAnsi="Arial" w:cs="Arial"/>
          <w:sz w:val="20"/>
          <w:szCs w:val="20"/>
        </w:rPr>
      </w:pPr>
      <w:r w:rsidRPr="00F54AC8">
        <w:rPr>
          <w:rFonts w:ascii="Arial" w:hAnsi="Arial" w:cs="Arial"/>
          <w:b/>
          <w:noProof/>
          <w:position w:val="-32"/>
          <w:sz w:val="20"/>
          <w:szCs w:val="20"/>
        </w:rPr>
        <w:object w:dxaOrig="7140" w:dyaOrig="760" w14:anchorId="2B841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7.6pt;height:21.75pt;mso-width-percent:0;mso-height-percent:0;mso-width-percent:0;mso-height-percent:0" o:ole="" fillcolor="window">
            <v:imagedata r:id="rId28" o:title=""/>
          </v:shape>
          <o:OLEObject Type="Embed" ProgID="Equation.3" ShapeID="_x0000_i1025" DrawAspect="Content" ObjectID="_1730706670" r:id="rId29"/>
        </w:object>
      </w:r>
    </w:p>
    <w:p w14:paraId="505E4214" w14:textId="77777777" w:rsidR="00F54AC8" w:rsidRPr="00F54AC8" w:rsidRDefault="00F54AC8" w:rsidP="00F54AC8">
      <w:pPr>
        <w:numPr>
          <w:ilvl w:val="0"/>
          <w:numId w:val="44"/>
        </w:numPr>
        <w:jc w:val="both"/>
        <w:rPr>
          <w:rFonts w:ascii="Arial" w:hAnsi="Arial" w:cs="Arial"/>
          <w:sz w:val="20"/>
          <w:szCs w:val="20"/>
        </w:rPr>
      </w:pPr>
      <w:r w:rsidRPr="00F54AC8">
        <w:rPr>
          <w:rFonts w:ascii="Arial" w:hAnsi="Arial" w:cs="Arial"/>
          <w:sz w:val="20"/>
          <w:szCs w:val="20"/>
        </w:rPr>
        <w:t>Indice</w:t>
      </w:r>
      <w:r w:rsidRPr="00F54AC8">
        <w:rPr>
          <w:rFonts w:ascii="Arial" w:hAnsi="Arial" w:cs="Arial"/>
          <w:iCs/>
          <w:sz w:val="20"/>
          <w:szCs w:val="20"/>
        </w:rPr>
        <w:t xml:space="preserve"> di mortalità</w:t>
      </w:r>
      <w:r w:rsidRPr="00F54AC8">
        <w:rPr>
          <w:rFonts w:ascii="Arial" w:hAnsi="Arial" w:cs="Arial"/>
          <w:i/>
          <w:sz w:val="20"/>
          <w:szCs w:val="20"/>
        </w:rPr>
        <w:t xml:space="preserve"> </w:t>
      </w:r>
      <w:r w:rsidRPr="00F54AC8">
        <w:rPr>
          <w:rFonts w:ascii="Arial" w:hAnsi="Arial" w:cs="Arial"/>
          <w:sz w:val="20"/>
          <w:szCs w:val="20"/>
        </w:rPr>
        <w:t xml:space="preserve">stradale </w:t>
      </w:r>
      <w:r w:rsidRPr="00F54AC8">
        <w:rPr>
          <w:rFonts w:ascii="Arial" w:hAnsi="Arial" w:cs="Arial"/>
          <w:b/>
          <w:sz w:val="20"/>
          <w:szCs w:val="20"/>
        </w:rPr>
        <w:t>IM</w:t>
      </w:r>
      <w:r w:rsidRPr="00F54AC8">
        <w:rPr>
          <w:rFonts w:ascii="Arial" w:hAnsi="Arial" w:cs="Arial"/>
          <w:sz w:val="20"/>
          <w:szCs w:val="20"/>
        </w:rPr>
        <w:t>:</w:t>
      </w:r>
    </w:p>
    <w:p w14:paraId="4B19D32E" w14:textId="77777777" w:rsidR="00F54AC8" w:rsidRPr="00F54AC8" w:rsidRDefault="00F54AC8" w:rsidP="00F54AC8">
      <w:pPr>
        <w:spacing w:after="80"/>
        <w:jc w:val="center"/>
        <w:rPr>
          <w:rFonts w:ascii="Arial" w:hAnsi="Arial" w:cs="Arial"/>
          <w:b/>
          <w:sz w:val="20"/>
          <w:szCs w:val="20"/>
        </w:rPr>
      </w:pPr>
      <w:r w:rsidRPr="00F54AC8">
        <w:rPr>
          <w:rFonts w:ascii="Arial" w:hAnsi="Arial" w:cs="Arial"/>
          <w:b/>
          <w:noProof/>
          <w:position w:val="-22"/>
          <w:sz w:val="20"/>
          <w:szCs w:val="20"/>
        </w:rPr>
        <w:object w:dxaOrig="1219" w:dyaOrig="540" w14:anchorId="046B6762">
          <v:shape id="_x0000_i1026" type="#_x0000_t75" alt="" style="width:1in;height:27.15pt;mso-width-percent:0;mso-height-percent:0;mso-width-percent:0;mso-height-percent:0" o:ole="" fillcolor="window">
            <v:imagedata r:id="rId30" o:title=""/>
          </v:shape>
          <o:OLEObject Type="Embed" ProgID="Equation.3" ShapeID="_x0000_i1026" DrawAspect="Content" ObjectID="_1730706671" r:id="rId31"/>
        </w:object>
      </w:r>
    </w:p>
    <w:p w14:paraId="38C7645A" w14:textId="77777777" w:rsidR="00F54AC8" w:rsidRPr="00F54AC8" w:rsidRDefault="00F54AC8" w:rsidP="00F54AC8">
      <w:pPr>
        <w:spacing w:after="120"/>
        <w:jc w:val="both"/>
        <w:rPr>
          <w:rFonts w:ascii="Arial" w:hAnsi="Arial" w:cs="Arial"/>
          <w:sz w:val="20"/>
          <w:szCs w:val="20"/>
        </w:rPr>
      </w:pPr>
      <w:r w:rsidRPr="00F54AC8">
        <w:rPr>
          <w:rFonts w:ascii="Arial" w:hAnsi="Arial" w:cs="Arial"/>
          <w:sz w:val="20"/>
          <w:szCs w:val="20"/>
        </w:rPr>
        <w:t>Tale rapporto presenta al numeratore il numero (</w:t>
      </w:r>
      <w:r w:rsidRPr="00F54AC8">
        <w:rPr>
          <w:rFonts w:ascii="Arial" w:hAnsi="Arial" w:cs="Arial"/>
          <w:b/>
          <w:sz w:val="20"/>
          <w:szCs w:val="20"/>
        </w:rPr>
        <w:t>M)</w:t>
      </w:r>
      <w:r w:rsidRPr="00F54AC8">
        <w:rPr>
          <w:rFonts w:ascii="Arial" w:hAnsi="Arial" w:cs="Arial"/>
          <w:sz w:val="20"/>
          <w:szCs w:val="20"/>
        </w:rPr>
        <w:t xml:space="preserve"> dei decessi come conseguenza degli incidenti e al denominatore il numero </w:t>
      </w:r>
      <w:r w:rsidRPr="00F54AC8">
        <w:rPr>
          <w:rFonts w:ascii="Arial" w:hAnsi="Arial" w:cs="Arial"/>
          <w:b/>
          <w:sz w:val="20"/>
          <w:szCs w:val="20"/>
        </w:rPr>
        <w:t>(I)</w:t>
      </w:r>
      <w:r w:rsidRPr="00F54AC8">
        <w:rPr>
          <w:rFonts w:ascii="Arial" w:hAnsi="Arial" w:cs="Arial"/>
          <w:sz w:val="20"/>
          <w:szCs w:val="20"/>
        </w:rPr>
        <w:t xml:space="preserve"> degli incidenti stradali con lesioni a persone. Il parametro </w:t>
      </w:r>
      <w:r w:rsidRPr="00F54AC8">
        <w:rPr>
          <w:rFonts w:ascii="Arial" w:hAnsi="Arial" w:cs="Arial"/>
          <w:b/>
          <w:sz w:val="20"/>
          <w:szCs w:val="20"/>
        </w:rPr>
        <w:t>IM</w:t>
      </w:r>
      <w:r w:rsidRPr="00F54AC8">
        <w:rPr>
          <w:rFonts w:ascii="Arial" w:hAnsi="Arial" w:cs="Arial"/>
          <w:sz w:val="20"/>
          <w:szCs w:val="20"/>
        </w:rPr>
        <w:t xml:space="preserve"> esprime, quindi, il numero di decessi a seguito di incidenti stradali verificatisi in un determinato anno, ogni 100 incidenti.  </w:t>
      </w:r>
    </w:p>
    <w:p w14:paraId="5461A5F6" w14:textId="77777777" w:rsidR="00F54AC8" w:rsidRPr="00F54AC8" w:rsidRDefault="00F54AC8" w:rsidP="00F54AC8">
      <w:pPr>
        <w:numPr>
          <w:ilvl w:val="0"/>
          <w:numId w:val="42"/>
        </w:numPr>
        <w:ind w:left="0" w:firstLine="0"/>
        <w:jc w:val="both"/>
        <w:rPr>
          <w:rFonts w:ascii="Arial" w:hAnsi="Arial" w:cs="Arial"/>
          <w:sz w:val="20"/>
          <w:szCs w:val="20"/>
        </w:rPr>
      </w:pPr>
      <w:r w:rsidRPr="00F54AC8">
        <w:rPr>
          <w:rFonts w:ascii="Arial" w:hAnsi="Arial" w:cs="Arial"/>
          <w:sz w:val="20"/>
          <w:szCs w:val="20"/>
        </w:rPr>
        <w:t>Indice</w:t>
      </w:r>
      <w:r w:rsidRPr="00F54AC8">
        <w:rPr>
          <w:rFonts w:ascii="Arial" w:hAnsi="Arial" w:cs="Arial"/>
          <w:iCs/>
          <w:sz w:val="20"/>
          <w:szCs w:val="20"/>
        </w:rPr>
        <w:t xml:space="preserve"> di lesività</w:t>
      </w:r>
      <w:r w:rsidRPr="00F54AC8">
        <w:rPr>
          <w:rFonts w:ascii="Arial" w:hAnsi="Arial" w:cs="Arial"/>
          <w:i/>
          <w:sz w:val="20"/>
          <w:szCs w:val="20"/>
        </w:rPr>
        <w:t xml:space="preserve"> </w:t>
      </w:r>
      <w:r w:rsidRPr="00F54AC8">
        <w:rPr>
          <w:rFonts w:ascii="Arial" w:hAnsi="Arial" w:cs="Arial"/>
          <w:sz w:val="20"/>
          <w:szCs w:val="20"/>
        </w:rPr>
        <w:t xml:space="preserve">stradale </w:t>
      </w:r>
      <w:r w:rsidRPr="00F54AC8">
        <w:rPr>
          <w:rFonts w:ascii="Arial" w:hAnsi="Arial" w:cs="Arial"/>
          <w:b/>
          <w:sz w:val="20"/>
          <w:szCs w:val="20"/>
        </w:rPr>
        <w:t>IF</w:t>
      </w:r>
      <w:r w:rsidRPr="00F54AC8">
        <w:rPr>
          <w:rFonts w:ascii="Arial" w:hAnsi="Arial" w:cs="Arial"/>
          <w:sz w:val="20"/>
          <w:szCs w:val="20"/>
        </w:rPr>
        <w:t>:</w:t>
      </w:r>
    </w:p>
    <w:p w14:paraId="4128C355" w14:textId="77777777" w:rsidR="00F54AC8" w:rsidRPr="00F54AC8" w:rsidRDefault="00F54AC8" w:rsidP="00F54AC8">
      <w:pPr>
        <w:spacing w:after="80"/>
        <w:jc w:val="center"/>
        <w:rPr>
          <w:rFonts w:ascii="Arial" w:hAnsi="Arial" w:cs="Arial"/>
          <w:b/>
          <w:sz w:val="20"/>
          <w:szCs w:val="20"/>
        </w:rPr>
      </w:pPr>
      <w:r w:rsidRPr="00F54AC8">
        <w:rPr>
          <w:rFonts w:ascii="Arial" w:hAnsi="Arial" w:cs="Arial"/>
          <w:b/>
          <w:noProof/>
          <w:position w:val="-22"/>
          <w:sz w:val="20"/>
          <w:szCs w:val="20"/>
        </w:rPr>
        <w:object w:dxaOrig="1140" w:dyaOrig="540" w14:anchorId="2769C038">
          <v:shape id="_x0000_i1027" type="#_x0000_t75" alt="" style="width:1in;height:27.15pt;mso-width-percent:0;mso-height-percent:0;mso-width-percent:0;mso-height-percent:0" o:ole="" fillcolor="window">
            <v:imagedata r:id="rId32" o:title=""/>
          </v:shape>
          <o:OLEObject Type="Embed" ProgID="Equation.3" ShapeID="_x0000_i1027" DrawAspect="Content" ObjectID="_1730706672" r:id="rId33"/>
        </w:object>
      </w:r>
    </w:p>
    <w:p w14:paraId="53DA5C1C" w14:textId="77777777" w:rsidR="00F54AC8" w:rsidRPr="00F54AC8" w:rsidRDefault="00F54AC8" w:rsidP="00F54AC8">
      <w:pPr>
        <w:spacing w:after="120"/>
        <w:jc w:val="both"/>
        <w:rPr>
          <w:rFonts w:ascii="Arial" w:hAnsi="Arial" w:cs="Arial"/>
          <w:sz w:val="20"/>
          <w:szCs w:val="20"/>
        </w:rPr>
      </w:pPr>
      <w:r w:rsidRPr="00F54AC8">
        <w:rPr>
          <w:rFonts w:ascii="Arial" w:hAnsi="Arial" w:cs="Arial"/>
          <w:b/>
          <w:sz w:val="20"/>
          <w:szCs w:val="20"/>
        </w:rPr>
        <w:t>IF</w:t>
      </w:r>
      <w:r w:rsidRPr="00F54AC8">
        <w:rPr>
          <w:rFonts w:ascii="Arial" w:hAnsi="Arial" w:cs="Arial"/>
          <w:sz w:val="20"/>
          <w:szCs w:val="20"/>
        </w:rPr>
        <w:t xml:space="preserve"> esprime il rapporto di lesività stradale ogni 100 incidenti ed </w:t>
      </w:r>
      <w:r w:rsidRPr="00F54AC8">
        <w:rPr>
          <w:rFonts w:ascii="Arial" w:hAnsi="Arial" w:cs="Arial"/>
          <w:b/>
          <w:sz w:val="20"/>
          <w:szCs w:val="20"/>
        </w:rPr>
        <w:t>F</w:t>
      </w:r>
      <w:r w:rsidRPr="00F54AC8">
        <w:rPr>
          <w:rFonts w:ascii="Arial" w:hAnsi="Arial" w:cs="Arial"/>
          <w:sz w:val="20"/>
          <w:szCs w:val="20"/>
        </w:rPr>
        <w:t xml:space="preserve"> il numero dei feriti, senza distinzione di gravità. Anche in questo caso, I</w:t>
      </w:r>
      <w:r w:rsidRPr="00F54AC8">
        <w:rPr>
          <w:rFonts w:ascii="Arial" w:hAnsi="Arial" w:cs="Arial"/>
          <w:b/>
          <w:sz w:val="20"/>
          <w:szCs w:val="20"/>
        </w:rPr>
        <w:t>F</w:t>
      </w:r>
      <w:r w:rsidRPr="00F54AC8">
        <w:rPr>
          <w:rFonts w:ascii="Arial" w:hAnsi="Arial" w:cs="Arial"/>
          <w:sz w:val="20"/>
          <w:szCs w:val="20"/>
        </w:rPr>
        <w:t xml:space="preserve"> può essere considerato un indicatore di pericolosità degli incidenti, seppure limitato ai soggetti che, coinvolti in incidenti, sono rimasti feriti.</w:t>
      </w:r>
    </w:p>
    <w:p w14:paraId="7B0C7BE7" w14:textId="77777777" w:rsidR="00F54AC8" w:rsidRPr="00F54AC8" w:rsidRDefault="00F54AC8" w:rsidP="00F54AC8">
      <w:pPr>
        <w:spacing w:after="80"/>
        <w:jc w:val="both"/>
        <w:rPr>
          <w:rFonts w:ascii="Arial" w:hAnsi="Arial" w:cs="Arial"/>
          <w:sz w:val="20"/>
          <w:szCs w:val="20"/>
        </w:rPr>
      </w:pPr>
      <w:r w:rsidRPr="00F54AC8">
        <w:rPr>
          <w:rFonts w:ascii="Arial" w:hAnsi="Arial" w:cs="Arial"/>
          <w:sz w:val="20"/>
          <w:szCs w:val="20"/>
        </w:rPr>
        <w:t xml:space="preserve">- </w:t>
      </w:r>
      <w:r w:rsidRPr="00F54AC8">
        <w:rPr>
          <w:rFonts w:ascii="Arial" w:hAnsi="Arial" w:cs="Arial"/>
          <w:sz w:val="20"/>
          <w:szCs w:val="20"/>
        </w:rPr>
        <w:tab/>
        <w:t xml:space="preserve">Indice di gravità </w:t>
      </w:r>
      <w:r w:rsidRPr="00F54AC8">
        <w:rPr>
          <w:rFonts w:ascii="Arial" w:hAnsi="Arial" w:cs="Arial"/>
          <w:b/>
          <w:sz w:val="20"/>
          <w:szCs w:val="20"/>
        </w:rPr>
        <w:t>IG:</w:t>
      </w:r>
    </w:p>
    <w:p w14:paraId="28FA560A" w14:textId="77777777" w:rsidR="00F54AC8" w:rsidRPr="00F54AC8" w:rsidRDefault="00F54AC8" w:rsidP="00F54AC8">
      <w:pPr>
        <w:jc w:val="both"/>
        <w:rPr>
          <w:rFonts w:ascii="Arial" w:hAnsi="Arial" w:cs="Arial"/>
          <w:sz w:val="20"/>
          <w:szCs w:val="20"/>
        </w:rPr>
      </w:pPr>
      <w:r w:rsidRPr="00F54AC8">
        <w:rPr>
          <w:rFonts w:ascii="Arial" w:hAnsi="Arial" w:cs="Arial"/>
          <w:sz w:val="20"/>
          <w:szCs w:val="20"/>
        </w:rPr>
        <w:t xml:space="preserve">Finora ci si è riferiti al concetto di </w:t>
      </w:r>
      <w:r w:rsidRPr="00F54AC8">
        <w:rPr>
          <w:rFonts w:ascii="Arial" w:hAnsi="Arial" w:cs="Arial"/>
          <w:iCs/>
          <w:sz w:val="20"/>
          <w:szCs w:val="20"/>
        </w:rPr>
        <w:t>pericolosità media</w:t>
      </w:r>
      <w:r w:rsidRPr="00F54AC8">
        <w:rPr>
          <w:rFonts w:ascii="Arial" w:hAnsi="Arial" w:cs="Arial"/>
          <w:sz w:val="20"/>
          <w:szCs w:val="20"/>
        </w:rPr>
        <w:t xml:space="preserve"> riguardante il sinistro. Se il riferimento è posto sulla persona, in quanto soggetto passivo ed attivo dell’incidentalità, possono costruirsi </w:t>
      </w:r>
      <w:r w:rsidRPr="00F54AC8">
        <w:rPr>
          <w:rFonts w:ascii="Arial" w:hAnsi="Arial" w:cs="Arial"/>
          <w:iCs/>
          <w:sz w:val="20"/>
          <w:szCs w:val="20"/>
        </w:rPr>
        <w:t>altri indicatori di gravità</w:t>
      </w:r>
      <w:r w:rsidRPr="00F54AC8">
        <w:rPr>
          <w:rFonts w:ascii="Arial" w:hAnsi="Arial" w:cs="Arial"/>
          <w:sz w:val="20"/>
          <w:szCs w:val="20"/>
        </w:rPr>
        <w:t xml:space="preserve"> degli incidenti, come </w:t>
      </w:r>
      <w:r w:rsidRPr="00F54AC8">
        <w:rPr>
          <w:rFonts w:ascii="Arial" w:hAnsi="Arial" w:cs="Arial"/>
          <w:b/>
          <w:sz w:val="20"/>
          <w:szCs w:val="20"/>
        </w:rPr>
        <w:t>IG</w:t>
      </w:r>
      <w:r w:rsidRPr="00F54AC8">
        <w:rPr>
          <w:rFonts w:ascii="Arial" w:hAnsi="Arial" w:cs="Arial"/>
          <w:sz w:val="20"/>
          <w:szCs w:val="20"/>
        </w:rPr>
        <w:t xml:space="preserve"> dato dal rapporto tra il numero dei morti e il numero degli infortunati:</w:t>
      </w:r>
    </w:p>
    <w:p w14:paraId="26C380B2" w14:textId="77777777" w:rsidR="00F54AC8" w:rsidRPr="00F54AC8" w:rsidRDefault="00F54AC8" w:rsidP="00F54AC8">
      <w:pPr>
        <w:spacing w:after="80"/>
        <w:jc w:val="center"/>
        <w:outlineLvl w:val="0"/>
        <w:rPr>
          <w:rFonts w:ascii="Arial" w:hAnsi="Arial" w:cs="Arial"/>
          <w:b/>
          <w:sz w:val="20"/>
          <w:szCs w:val="20"/>
          <w:lang w:val="en-GB"/>
        </w:rPr>
      </w:pPr>
      <w:r w:rsidRPr="00F54AC8">
        <w:rPr>
          <w:rFonts w:ascii="Arial" w:hAnsi="Arial" w:cs="Arial"/>
          <w:b/>
          <w:noProof/>
          <w:position w:val="-24"/>
          <w:sz w:val="20"/>
          <w:szCs w:val="20"/>
        </w:rPr>
        <w:object w:dxaOrig="1500" w:dyaOrig="560" w14:anchorId="1EFFDEDD">
          <v:shape id="_x0000_i1028" type="#_x0000_t75" alt="" style="width:99.15pt;height:27.15pt;mso-width-percent:0;mso-height-percent:0;mso-width-percent:0;mso-height-percent:0" o:ole="" fillcolor="window">
            <v:imagedata r:id="rId34" o:title=""/>
          </v:shape>
          <o:OLEObject Type="Embed" ProgID="Equation.3" ShapeID="_x0000_i1028" DrawAspect="Content" ObjectID="_1730706673" r:id="rId35"/>
        </w:object>
      </w:r>
    </w:p>
    <w:p w14:paraId="352CF5F2" w14:textId="77777777" w:rsidR="00F54AC8" w:rsidRPr="00F54AC8" w:rsidRDefault="00F54AC8" w:rsidP="00F54AC8">
      <w:pPr>
        <w:spacing w:after="80"/>
        <w:jc w:val="both"/>
        <w:rPr>
          <w:rFonts w:ascii="Arial" w:hAnsi="Arial" w:cs="Arial"/>
          <w:sz w:val="20"/>
          <w:szCs w:val="20"/>
        </w:rPr>
      </w:pPr>
      <w:r w:rsidRPr="00F54AC8">
        <w:rPr>
          <w:rFonts w:ascii="Arial" w:hAnsi="Arial" w:cs="Arial"/>
          <w:sz w:val="20"/>
          <w:szCs w:val="20"/>
        </w:rPr>
        <w:t xml:space="preserve">dove </w:t>
      </w:r>
      <w:r w:rsidRPr="00F54AC8">
        <w:rPr>
          <w:rFonts w:ascii="Arial" w:hAnsi="Arial" w:cs="Arial"/>
          <w:b/>
          <w:sz w:val="20"/>
          <w:szCs w:val="20"/>
        </w:rPr>
        <w:t>(M+F)</w:t>
      </w:r>
      <w:r w:rsidRPr="00F54AC8">
        <w:rPr>
          <w:rFonts w:ascii="Arial" w:hAnsi="Arial" w:cs="Arial"/>
          <w:sz w:val="20"/>
          <w:szCs w:val="20"/>
        </w:rPr>
        <w:t xml:space="preserve"> rappresenta il numero di morti e feriti e dunque la numerosità complessiva delle persone infortunate nell’incidente. L’indice </w:t>
      </w:r>
      <w:r w:rsidRPr="00F54AC8">
        <w:rPr>
          <w:rFonts w:ascii="Arial" w:hAnsi="Arial" w:cs="Arial"/>
          <w:b/>
          <w:sz w:val="20"/>
          <w:szCs w:val="20"/>
        </w:rPr>
        <w:t>IG</w:t>
      </w:r>
      <w:r w:rsidRPr="00F54AC8">
        <w:rPr>
          <w:rFonts w:ascii="Arial" w:hAnsi="Arial" w:cs="Arial"/>
          <w:sz w:val="20"/>
          <w:szCs w:val="20"/>
        </w:rPr>
        <w:t xml:space="preserve"> rappresenta un diverso indicatore di gravità rispetto ad </w:t>
      </w:r>
      <w:r w:rsidRPr="00F54AC8">
        <w:rPr>
          <w:rFonts w:ascii="Arial" w:hAnsi="Arial" w:cs="Arial"/>
          <w:b/>
          <w:sz w:val="20"/>
          <w:szCs w:val="20"/>
        </w:rPr>
        <w:t>IM</w:t>
      </w:r>
      <w:r w:rsidRPr="00F54AC8">
        <w:rPr>
          <w:rFonts w:ascii="Arial" w:hAnsi="Arial" w:cs="Arial"/>
          <w:sz w:val="20"/>
          <w:szCs w:val="20"/>
        </w:rPr>
        <w:t xml:space="preserve">, che, cresce in funzione del numero </w:t>
      </w:r>
      <w:r w:rsidRPr="00F54AC8">
        <w:rPr>
          <w:rFonts w:ascii="Arial" w:hAnsi="Arial" w:cs="Arial"/>
          <w:b/>
          <w:sz w:val="20"/>
          <w:szCs w:val="20"/>
        </w:rPr>
        <w:t>M</w:t>
      </w:r>
      <w:r w:rsidRPr="00F54AC8">
        <w:rPr>
          <w:rFonts w:ascii="Arial" w:hAnsi="Arial" w:cs="Arial"/>
          <w:sz w:val="20"/>
          <w:szCs w:val="20"/>
        </w:rPr>
        <w:t xml:space="preserve"> di morti e dunque dell’esito letale della forma di sinistro considerata.</w:t>
      </w:r>
    </w:p>
    <w:p w14:paraId="18E4111E" w14:textId="77777777" w:rsidR="00F54AC8" w:rsidRPr="00F54AC8" w:rsidRDefault="00F54AC8" w:rsidP="00F54AC8">
      <w:pPr>
        <w:spacing w:after="80"/>
        <w:jc w:val="both"/>
        <w:rPr>
          <w:rFonts w:ascii="Arial" w:hAnsi="Arial" w:cs="Arial"/>
          <w:sz w:val="2"/>
          <w:szCs w:val="20"/>
        </w:rPr>
      </w:pPr>
    </w:p>
    <w:p w14:paraId="00717B54" w14:textId="77777777" w:rsidR="00F54AC8" w:rsidRPr="00F54AC8" w:rsidRDefault="00F54AC8" w:rsidP="00F54AC8">
      <w:pPr>
        <w:spacing w:after="120"/>
        <w:jc w:val="both"/>
        <w:rPr>
          <w:rFonts w:ascii="Arial" w:hAnsi="Arial" w:cs="Arial"/>
          <w:sz w:val="20"/>
          <w:szCs w:val="20"/>
        </w:rPr>
      </w:pPr>
      <w:r w:rsidRPr="00F54AC8">
        <w:rPr>
          <w:rFonts w:ascii="Arial" w:hAnsi="Arial" w:cs="Arial"/>
          <w:sz w:val="20"/>
          <w:szCs w:val="20"/>
        </w:rPr>
        <w:t xml:space="preserve">- Il Costo Totale per incidenti stradali con lesioni a persone (CT) viene calcolato mediante la formula: </w:t>
      </w:r>
    </w:p>
    <w:p w14:paraId="1C94E750" w14:textId="77777777" w:rsidR="00F54AC8" w:rsidRPr="00F54AC8" w:rsidRDefault="00F54AC8" w:rsidP="00F54AC8">
      <w:pPr>
        <w:spacing w:after="80"/>
        <w:jc w:val="center"/>
        <w:rPr>
          <w:rFonts w:ascii="Arial" w:hAnsi="Arial" w:cs="Arial"/>
          <w:b/>
          <w:sz w:val="20"/>
          <w:szCs w:val="20"/>
          <w:lang w:val="fr-FR"/>
        </w:rPr>
      </w:pPr>
      <w:r w:rsidRPr="00F54AC8">
        <w:rPr>
          <w:rFonts w:ascii="Arial" w:hAnsi="Arial" w:cs="Arial"/>
          <w:b/>
          <w:sz w:val="20"/>
          <w:szCs w:val="20"/>
          <w:lang w:val="fr-FR"/>
        </w:rPr>
        <w:t>CT = (CF * NF) + (CM * NM) + (CG * NI)</w:t>
      </w:r>
    </w:p>
    <w:p w14:paraId="51D61C69" w14:textId="77777777" w:rsidR="008F317B" w:rsidRDefault="008F317B" w:rsidP="00F54AC8">
      <w:pPr>
        <w:autoSpaceDE w:val="0"/>
        <w:autoSpaceDN w:val="0"/>
        <w:adjustRightInd w:val="0"/>
        <w:spacing w:after="120"/>
        <w:jc w:val="both"/>
        <w:rPr>
          <w:rFonts w:ascii="Arial" w:hAnsi="Arial" w:cs="Arial"/>
          <w:color w:val="000000"/>
          <w:sz w:val="20"/>
          <w:szCs w:val="20"/>
        </w:rPr>
      </w:pPr>
    </w:p>
    <w:p w14:paraId="416B0404" w14:textId="77777777" w:rsidR="008F317B" w:rsidRDefault="008F317B" w:rsidP="00F54AC8">
      <w:pPr>
        <w:autoSpaceDE w:val="0"/>
        <w:autoSpaceDN w:val="0"/>
        <w:adjustRightInd w:val="0"/>
        <w:spacing w:after="120"/>
        <w:jc w:val="both"/>
        <w:rPr>
          <w:rFonts w:ascii="Arial" w:hAnsi="Arial" w:cs="Arial"/>
          <w:color w:val="000000"/>
          <w:sz w:val="20"/>
          <w:szCs w:val="20"/>
        </w:rPr>
      </w:pPr>
    </w:p>
    <w:p w14:paraId="6EC1E754" w14:textId="4CA769F6" w:rsidR="00F54AC8" w:rsidRPr="00F54AC8" w:rsidRDefault="00F54AC8" w:rsidP="00F54AC8">
      <w:pPr>
        <w:autoSpaceDE w:val="0"/>
        <w:autoSpaceDN w:val="0"/>
        <w:adjustRightInd w:val="0"/>
        <w:spacing w:after="120"/>
        <w:jc w:val="both"/>
        <w:rPr>
          <w:rFonts w:ascii="Arial" w:hAnsi="Arial" w:cs="Arial"/>
          <w:color w:val="000000"/>
          <w:sz w:val="20"/>
          <w:szCs w:val="20"/>
        </w:rPr>
      </w:pPr>
      <w:r w:rsidRPr="00F54AC8">
        <w:rPr>
          <w:rFonts w:ascii="Arial" w:hAnsi="Arial" w:cs="Arial"/>
          <w:color w:val="000000"/>
          <w:sz w:val="20"/>
          <w:szCs w:val="20"/>
        </w:rPr>
        <w:t xml:space="preserve">Dove: </w:t>
      </w:r>
      <w:r w:rsidRPr="00F54AC8">
        <w:rPr>
          <w:rFonts w:ascii="Arial" w:hAnsi="Arial" w:cs="Arial"/>
          <w:b/>
          <w:color w:val="000000"/>
          <w:sz w:val="20"/>
          <w:szCs w:val="20"/>
        </w:rPr>
        <w:t>CF</w:t>
      </w:r>
      <w:r w:rsidRPr="00F54AC8">
        <w:rPr>
          <w:rFonts w:ascii="Arial" w:hAnsi="Arial" w:cs="Arial"/>
          <w:color w:val="000000"/>
          <w:sz w:val="20"/>
          <w:szCs w:val="20"/>
        </w:rPr>
        <w:t xml:space="preserve"> = Costo medio umano per un ferito; </w:t>
      </w:r>
      <w:r w:rsidRPr="00F54AC8">
        <w:rPr>
          <w:rFonts w:ascii="Arial" w:hAnsi="Arial" w:cs="Arial"/>
          <w:b/>
          <w:color w:val="000000"/>
          <w:sz w:val="20"/>
          <w:szCs w:val="20"/>
        </w:rPr>
        <w:t>NF</w:t>
      </w:r>
      <w:r w:rsidRPr="00F54AC8">
        <w:rPr>
          <w:rFonts w:ascii="Arial" w:hAnsi="Arial" w:cs="Arial"/>
          <w:color w:val="000000"/>
          <w:sz w:val="20"/>
          <w:szCs w:val="20"/>
        </w:rPr>
        <w:t xml:space="preserve"> = numero di feriti totali; </w:t>
      </w:r>
      <w:r w:rsidRPr="00F54AC8">
        <w:rPr>
          <w:rFonts w:ascii="Arial" w:hAnsi="Arial" w:cs="Arial"/>
          <w:b/>
          <w:color w:val="000000"/>
          <w:sz w:val="20"/>
          <w:szCs w:val="20"/>
        </w:rPr>
        <w:t>CM</w:t>
      </w:r>
      <w:r w:rsidRPr="00F54AC8">
        <w:rPr>
          <w:rFonts w:ascii="Arial" w:hAnsi="Arial" w:cs="Arial"/>
          <w:color w:val="000000"/>
          <w:sz w:val="20"/>
          <w:szCs w:val="20"/>
        </w:rPr>
        <w:t xml:space="preserve"> = Costo medio umano per un decesso; </w:t>
      </w:r>
      <w:r w:rsidRPr="00F54AC8">
        <w:rPr>
          <w:rFonts w:ascii="Arial" w:hAnsi="Arial" w:cs="Arial"/>
          <w:b/>
          <w:color w:val="000000"/>
          <w:sz w:val="20"/>
          <w:szCs w:val="20"/>
        </w:rPr>
        <w:t>NM</w:t>
      </w:r>
      <w:r w:rsidRPr="00F54AC8">
        <w:rPr>
          <w:rFonts w:ascii="Arial" w:hAnsi="Arial" w:cs="Arial"/>
          <w:color w:val="000000"/>
          <w:sz w:val="20"/>
          <w:szCs w:val="20"/>
        </w:rPr>
        <w:t xml:space="preserve"> = numero di morti totali; </w:t>
      </w:r>
      <w:r w:rsidRPr="00F54AC8">
        <w:rPr>
          <w:rFonts w:ascii="Arial" w:hAnsi="Arial" w:cs="Arial"/>
          <w:b/>
          <w:color w:val="000000"/>
          <w:sz w:val="20"/>
          <w:szCs w:val="20"/>
        </w:rPr>
        <w:t>CG</w:t>
      </w:r>
      <w:r w:rsidRPr="00F54AC8">
        <w:rPr>
          <w:rFonts w:ascii="Arial" w:hAnsi="Arial" w:cs="Arial"/>
          <w:color w:val="000000"/>
          <w:sz w:val="20"/>
          <w:szCs w:val="20"/>
        </w:rPr>
        <w:t xml:space="preserve">= costi generali medi per incidente (patrimoniali, amministrativi); </w:t>
      </w:r>
      <w:r w:rsidRPr="00F54AC8">
        <w:rPr>
          <w:rFonts w:ascii="Arial" w:hAnsi="Arial" w:cs="Arial"/>
          <w:b/>
          <w:color w:val="000000"/>
          <w:sz w:val="20"/>
          <w:szCs w:val="20"/>
        </w:rPr>
        <w:t xml:space="preserve">NI </w:t>
      </w:r>
      <w:r w:rsidRPr="00F54AC8">
        <w:rPr>
          <w:rFonts w:ascii="Arial" w:hAnsi="Arial" w:cs="Arial"/>
          <w:color w:val="000000"/>
          <w:sz w:val="20"/>
          <w:szCs w:val="20"/>
        </w:rPr>
        <w:t>= numero totale di incidenti stradali con lesioni. (Le voci considerate si riferiscono al singolo individuo morto o ferito in un incidente stradale, in particolare la mancata produttività, i danni non patrimoniali, le spese per il trattamento sanitario e all’incidente stradale, esplicitando danni materiali a veicoli, edifici, strade, costi di intervento dei servizi di emergenza, costi processuali e di amministrazione).</w:t>
      </w:r>
    </w:p>
    <w:p w14:paraId="5537FF9C" w14:textId="77777777" w:rsidR="00F54AC8" w:rsidRPr="00F54AC8" w:rsidRDefault="00F54AC8" w:rsidP="00F54AC8">
      <w:pPr>
        <w:rPr>
          <w:rFonts w:ascii="Arial" w:hAnsi="Arial" w:cs="Arial"/>
          <w:sz w:val="20"/>
          <w:szCs w:val="20"/>
        </w:rPr>
      </w:pPr>
    </w:p>
    <w:p w14:paraId="6055D4DB" w14:textId="77777777" w:rsidR="00F54AC8" w:rsidRPr="00F54AC8" w:rsidRDefault="00F54AC8" w:rsidP="00F54AC8">
      <w:pPr>
        <w:tabs>
          <w:tab w:val="left" w:pos="720"/>
        </w:tabs>
        <w:spacing w:after="120"/>
        <w:ind w:right="108"/>
        <w:jc w:val="both"/>
        <w:rPr>
          <w:rFonts w:ascii="Arial" w:eastAsia="Calibri" w:hAnsi="Arial" w:cs="Arial"/>
          <w:b/>
          <w:szCs w:val="20"/>
        </w:rPr>
      </w:pPr>
      <w:r w:rsidRPr="00F54AC8">
        <w:rPr>
          <w:rFonts w:ascii="Arial" w:hAnsi="Arial" w:cs="Arial"/>
          <w:b/>
          <w:color w:val="000000"/>
          <w:szCs w:val="22"/>
        </w:rPr>
        <w:t>Informazioni sulla r</w:t>
      </w:r>
      <w:r w:rsidRPr="00F54AC8">
        <w:rPr>
          <w:rFonts w:ascii="Arial" w:eastAsia="Calibri" w:hAnsi="Arial" w:cs="Arial"/>
          <w:b/>
          <w:color w:val="000000"/>
          <w:szCs w:val="22"/>
        </w:rPr>
        <w:t xml:space="preserve">iservatezza </w:t>
      </w:r>
      <w:r w:rsidRPr="00F54AC8">
        <w:rPr>
          <w:rFonts w:ascii="Arial" w:hAnsi="Arial" w:cs="Arial"/>
          <w:b/>
          <w:color w:val="000000"/>
          <w:szCs w:val="22"/>
        </w:rPr>
        <w:t xml:space="preserve">dei dati </w:t>
      </w:r>
    </w:p>
    <w:p w14:paraId="57D3BB29" w14:textId="77777777" w:rsidR="00F54AC8" w:rsidRPr="00F54AC8" w:rsidRDefault="00F54AC8" w:rsidP="00F54AC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z w:val="20"/>
          <w:szCs w:val="20"/>
        </w:rPr>
      </w:pPr>
      <w:r w:rsidRPr="00F54AC8">
        <w:rPr>
          <w:rFonts w:ascii="Arial" w:hAnsi="Arial" w:cs="Arial"/>
          <w:sz w:val="20"/>
          <w:szCs w:val="20"/>
        </w:rPr>
        <w:t xml:space="preserve">Le informazioni raccolte sono tutelate dal segreto statistico (art. 9 del D.lgs. n. 322/1989) e, nel caso di dati personali, sottoposte alla normativa in materia di protezione di tali dati personali (Regolamento (UE) 2016/679, D.lgs. n. 196/2003, e </w:t>
      </w:r>
      <w:proofErr w:type="spellStart"/>
      <w:r w:rsidRPr="00F54AC8">
        <w:rPr>
          <w:rFonts w:ascii="Arial" w:hAnsi="Arial" w:cs="Arial"/>
          <w:sz w:val="20"/>
          <w:szCs w:val="20"/>
        </w:rPr>
        <w:t>D.lgs</w:t>
      </w:r>
      <w:proofErr w:type="spellEnd"/>
      <w:r w:rsidRPr="00F54AC8">
        <w:rPr>
          <w:rFonts w:ascii="Arial" w:hAnsi="Arial" w:cs="Arial"/>
          <w:sz w:val="20"/>
          <w:szCs w:val="20"/>
        </w:rPr>
        <w:t xml:space="preserve"> n.101/2018). I dati possono essere utilizzati anche per successivi trattamenti dall’Istat e dagli altri soggetti del Sistema statistico nazionale, esclusivamente per fini statistici, nonché essere comunicate per finalità di ricerca scientifica alle condizioni e secondo le modalità previste dall’art. 5-ter del decreto legislativo n. 33/2013.</w:t>
      </w:r>
    </w:p>
    <w:p w14:paraId="70BFF96B" w14:textId="77777777" w:rsidR="00F54AC8" w:rsidRPr="00F54AC8" w:rsidRDefault="00F54AC8" w:rsidP="00F54AC8">
      <w:pPr>
        <w:tabs>
          <w:tab w:val="left" w:pos="720"/>
        </w:tabs>
        <w:spacing w:after="120"/>
        <w:ind w:right="108"/>
        <w:jc w:val="both"/>
        <w:rPr>
          <w:rFonts w:ascii="Arial" w:hAnsi="Arial" w:cs="Arial"/>
          <w:b/>
          <w:color w:val="000000"/>
          <w:sz w:val="22"/>
          <w:szCs w:val="20"/>
        </w:rPr>
      </w:pPr>
    </w:p>
    <w:p w14:paraId="0FD082CC" w14:textId="77777777" w:rsidR="00F54AC8" w:rsidRPr="00F54AC8" w:rsidRDefault="00F54AC8" w:rsidP="00F54AC8">
      <w:pPr>
        <w:tabs>
          <w:tab w:val="left" w:pos="720"/>
        </w:tabs>
        <w:spacing w:after="120"/>
        <w:ind w:right="108"/>
        <w:jc w:val="both"/>
        <w:rPr>
          <w:rFonts w:ascii="Arial" w:hAnsi="Arial" w:cs="Arial"/>
          <w:b/>
          <w:sz w:val="22"/>
          <w:szCs w:val="20"/>
        </w:rPr>
      </w:pPr>
      <w:r w:rsidRPr="00F54AC8">
        <w:rPr>
          <w:rFonts w:ascii="Arial" w:hAnsi="Arial" w:cs="Arial"/>
          <w:b/>
          <w:color w:val="000000"/>
          <w:sz w:val="22"/>
          <w:szCs w:val="20"/>
        </w:rPr>
        <w:t>Copertura e dettaglio territoriale</w:t>
      </w:r>
    </w:p>
    <w:p w14:paraId="4D368893" w14:textId="77777777" w:rsidR="00F54AC8" w:rsidRPr="00F54AC8" w:rsidRDefault="00F54AC8" w:rsidP="00F54AC8">
      <w:pPr>
        <w:spacing w:after="120"/>
        <w:jc w:val="both"/>
        <w:rPr>
          <w:rFonts w:ascii="Arial" w:hAnsi="Arial" w:cs="Arial"/>
          <w:sz w:val="20"/>
          <w:szCs w:val="20"/>
        </w:rPr>
      </w:pPr>
      <w:r w:rsidRPr="00F54AC8">
        <w:rPr>
          <w:rFonts w:ascii="Arial" w:hAnsi="Arial" w:cs="Arial"/>
          <w:sz w:val="20"/>
          <w:szCs w:val="20"/>
        </w:rPr>
        <w:t>I dati sono diffusi a livello nazionale, provinciale e comunale.</w:t>
      </w:r>
    </w:p>
    <w:p w14:paraId="01BC1A88" w14:textId="77777777" w:rsidR="00F54AC8" w:rsidRPr="00F54AC8" w:rsidRDefault="00F54AC8" w:rsidP="00F54AC8">
      <w:pPr>
        <w:spacing w:after="120"/>
        <w:jc w:val="both"/>
        <w:rPr>
          <w:rFonts w:ascii="Arial" w:hAnsi="Arial" w:cs="Arial"/>
          <w:sz w:val="20"/>
          <w:szCs w:val="20"/>
        </w:rPr>
      </w:pPr>
    </w:p>
    <w:p w14:paraId="285281DD" w14:textId="77777777" w:rsidR="00F54AC8" w:rsidRPr="00F54AC8" w:rsidRDefault="00F54AC8" w:rsidP="00F54AC8">
      <w:pPr>
        <w:tabs>
          <w:tab w:val="left" w:pos="720"/>
        </w:tabs>
        <w:spacing w:after="120"/>
        <w:ind w:right="106"/>
        <w:jc w:val="both"/>
        <w:rPr>
          <w:rFonts w:ascii="Arial" w:hAnsi="Arial" w:cs="Arial"/>
          <w:b/>
          <w:sz w:val="22"/>
          <w:szCs w:val="20"/>
        </w:rPr>
      </w:pPr>
      <w:r w:rsidRPr="00F54AC8">
        <w:rPr>
          <w:rFonts w:ascii="Arial" w:hAnsi="Arial" w:cs="Arial"/>
          <w:b/>
          <w:color w:val="000000"/>
          <w:sz w:val="22"/>
          <w:szCs w:val="20"/>
        </w:rPr>
        <w:t>Tempestività</w:t>
      </w:r>
    </w:p>
    <w:p w14:paraId="004CC672" w14:textId="77777777" w:rsidR="00F54AC8" w:rsidRPr="00F54AC8" w:rsidRDefault="00F54AC8" w:rsidP="00F54AC8">
      <w:pPr>
        <w:spacing w:after="120"/>
        <w:jc w:val="both"/>
        <w:rPr>
          <w:rFonts w:ascii="Arial" w:hAnsi="Arial" w:cs="Arial"/>
          <w:spacing w:val="-3"/>
          <w:sz w:val="20"/>
          <w:szCs w:val="20"/>
        </w:rPr>
      </w:pPr>
      <w:r w:rsidRPr="00F54AC8">
        <w:rPr>
          <w:rFonts w:ascii="Arial" w:hAnsi="Arial"/>
          <w:iCs/>
          <w:sz w:val="20"/>
          <w:szCs w:val="20"/>
        </w:rPr>
        <w:t>Il flusso di indagine standard prevede una periodicità mensile di trasmissione, con invio entro 45 giorni dal termine del mese di rilevazione.</w:t>
      </w:r>
      <w:r w:rsidRPr="00F54AC8">
        <w:rPr>
          <w:rFonts w:ascii="Arial" w:hAnsi="Arial" w:cs="Arial"/>
          <w:spacing w:val="-3"/>
          <w:sz w:val="20"/>
          <w:szCs w:val="20"/>
        </w:rPr>
        <w:t xml:space="preserve"> </w:t>
      </w:r>
    </w:p>
    <w:p w14:paraId="1C65AEA6" w14:textId="77777777" w:rsidR="00F54AC8" w:rsidRPr="00F54AC8" w:rsidRDefault="00F54AC8" w:rsidP="00F54AC8">
      <w:pPr>
        <w:spacing w:after="120"/>
        <w:jc w:val="both"/>
        <w:rPr>
          <w:rFonts w:ascii="Arial" w:hAnsi="Arial" w:cs="Arial"/>
          <w:sz w:val="20"/>
          <w:szCs w:val="20"/>
        </w:rPr>
      </w:pPr>
      <w:r w:rsidRPr="00F54AC8">
        <w:rPr>
          <w:rFonts w:ascii="Arial" w:hAnsi="Arial" w:cs="Arial"/>
          <w:sz w:val="20"/>
          <w:szCs w:val="20"/>
        </w:rPr>
        <w:t xml:space="preserve">Il dato per l’anno </w:t>
      </w:r>
      <w:r w:rsidRPr="00F54AC8">
        <w:rPr>
          <w:rFonts w:ascii="Arial" w:hAnsi="Arial" w:cs="Arial"/>
          <w:i/>
          <w:sz w:val="20"/>
          <w:szCs w:val="20"/>
        </w:rPr>
        <w:t>t-1</w:t>
      </w:r>
      <w:r w:rsidRPr="00F54AC8">
        <w:rPr>
          <w:rFonts w:ascii="Arial" w:hAnsi="Arial" w:cs="Arial"/>
          <w:sz w:val="20"/>
          <w:szCs w:val="20"/>
        </w:rPr>
        <w:t xml:space="preserve"> viene consolidato e validato, nel mese di luglio dell’anno </w:t>
      </w:r>
      <w:r w:rsidRPr="00F54AC8">
        <w:rPr>
          <w:rFonts w:ascii="Arial" w:hAnsi="Arial" w:cs="Arial"/>
          <w:i/>
          <w:sz w:val="20"/>
          <w:szCs w:val="20"/>
        </w:rPr>
        <w:t>t</w:t>
      </w:r>
      <w:r w:rsidRPr="00F54AC8">
        <w:rPr>
          <w:rFonts w:ascii="Arial" w:hAnsi="Arial" w:cs="Arial"/>
          <w:sz w:val="20"/>
          <w:szCs w:val="20"/>
        </w:rPr>
        <w:t>, circa cinque dopo mesi la scadenza temporale fissata per la raccolta delle informazioni per il flusso standard (28 febbraio) e due mesi dal termine per la raccolta dei dati presso gli organi intermedi di rilevazione e aderenti a Protocollo di Intesa (31 maggio).</w:t>
      </w:r>
    </w:p>
    <w:p w14:paraId="03E9E8BB" w14:textId="77777777" w:rsidR="00F54AC8" w:rsidRPr="00F54AC8" w:rsidRDefault="00F54AC8" w:rsidP="00F54AC8">
      <w:pPr>
        <w:spacing w:after="120"/>
        <w:jc w:val="both"/>
        <w:rPr>
          <w:rFonts w:ascii="Arial" w:hAnsi="Arial" w:cs="Arial"/>
          <w:sz w:val="20"/>
          <w:szCs w:val="20"/>
        </w:rPr>
      </w:pPr>
    </w:p>
    <w:p w14:paraId="3F92084E" w14:textId="77777777" w:rsidR="00F54AC8" w:rsidRPr="00F54AC8" w:rsidRDefault="00F54AC8" w:rsidP="00F54AC8">
      <w:pPr>
        <w:widowControl w:val="0"/>
        <w:tabs>
          <w:tab w:val="left" w:pos="-1800"/>
          <w:tab w:val="left" w:pos="-1092"/>
          <w:tab w:val="left" w:pos="-384"/>
          <w:tab w:val="left" w:pos="324"/>
          <w:tab w:val="left" w:pos="1032"/>
          <w:tab w:val="left" w:pos="1740"/>
          <w:tab w:val="left" w:pos="2454"/>
          <w:tab w:val="left" w:pos="3162"/>
          <w:tab w:val="left" w:pos="3870"/>
          <w:tab w:val="left" w:pos="4578"/>
          <w:tab w:val="left" w:pos="5286"/>
          <w:tab w:val="left" w:pos="5994"/>
          <w:tab w:val="left" w:pos="6708"/>
          <w:tab w:val="left" w:pos="7416"/>
          <w:tab w:val="left" w:pos="8124"/>
        </w:tabs>
        <w:spacing w:after="120"/>
        <w:jc w:val="both"/>
        <w:rPr>
          <w:rFonts w:ascii="Arial" w:hAnsi="Arial"/>
          <w:b/>
          <w:bCs/>
          <w:sz w:val="22"/>
          <w:szCs w:val="22"/>
        </w:rPr>
      </w:pPr>
      <w:r w:rsidRPr="00F54AC8">
        <w:rPr>
          <w:rFonts w:ascii="Arial" w:hAnsi="Arial"/>
          <w:b/>
          <w:bCs/>
          <w:sz w:val="22"/>
          <w:szCs w:val="22"/>
        </w:rPr>
        <w:t xml:space="preserve">Diffusione dei dati </w:t>
      </w:r>
    </w:p>
    <w:p w14:paraId="60555EEB" w14:textId="77777777" w:rsidR="00F54AC8" w:rsidRPr="00F54AC8" w:rsidRDefault="00F54AC8" w:rsidP="00F54AC8">
      <w:pPr>
        <w:spacing w:after="120"/>
        <w:jc w:val="both"/>
        <w:rPr>
          <w:rFonts w:ascii="Arial" w:hAnsi="Arial" w:cs="Arial"/>
          <w:sz w:val="20"/>
          <w:szCs w:val="20"/>
        </w:rPr>
      </w:pPr>
      <w:r w:rsidRPr="00F54AC8">
        <w:rPr>
          <w:rFonts w:ascii="Arial" w:hAnsi="Arial" w:cs="Arial"/>
          <w:sz w:val="20"/>
          <w:szCs w:val="20"/>
        </w:rPr>
        <w:t>La diffusione dei risultati della rilevazione avviene, a partire dai dati 2016, nel mese di luglio e riguarda la divulgazione dei dati dell’anno precedente a quello di pubblicazione, con un aggiornamento sul dettaglio delle variabili territoriali e di localizzazione ad ottobre. Una stima preliminare del primo semestre dell’anno in corso viene diffusa, infine, nel mese di novembre. La fornitura alla Commissione europea viene effettuata, come raccomandato, entro il 31 ottobre dell’anno successivo a quello di riferimento dei dati.</w:t>
      </w:r>
    </w:p>
    <w:p w14:paraId="46273B42" w14:textId="77777777" w:rsidR="00F54AC8" w:rsidRPr="00F54AC8" w:rsidRDefault="00F54AC8" w:rsidP="00F54AC8">
      <w:pPr>
        <w:spacing w:after="120"/>
        <w:jc w:val="both"/>
        <w:rPr>
          <w:rFonts w:ascii="Arial" w:hAnsi="Arial" w:cs="Arial"/>
          <w:sz w:val="20"/>
          <w:szCs w:val="20"/>
        </w:rPr>
      </w:pPr>
      <w:r w:rsidRPr="00F54AC8">
        <w:rPr>
          <w:rFonts w:ascii="Arial" w:hAnsi="Arial" w:cs="Arial"/>
          <w:sz w:val="20"/>
          <w:szCs w:val="20"/>
        </w:rPr>
        <w:t>Per quanto concerne le tavole di dati disponibili per gli utenti, per l’anno 2021 a luglio e ottobre 2022:</w:t>
      </w:r>
    </w:p>
    <w:p w14:paraId="6A191D4E" w14:textId="77777777" w:rsidR="00F54AC8" w:rsidRPr="00F54AC8" w:rsidRDefault="00F54AC8" w:rsidP="00F54AC8">
      <w:pPr>
        <w:numPr>
          <w:ilvl w:val="0"/>
          <w:numId w:val="42"/>
        </w:numPr>
        <w:ind w:left="426"/>
        <w:contextualSpacing/>
        <w:jc w:val="both"/>
        <w:rPr>
          <w:rFonts w:ascii="Arial" w:hAnsi="Arial" w:cs="Arial"/>
          <w:sz w:val="20"/>
          <w:szCs w:val="20"/>
        </w:rPr>
      </w:pPr>
      <w:r w:rsidRPr="00F54AC8">
        <w:rPr>
          <w:rFonts w:ascii="Arial" w:hAnsi="Arial" w:cs="Arial"/>
          <w:sz w:val="20"/>
          <w:szCs w:val="20"/>
        </w:rPr>
        <w:t xml:space="preserve">Le tavole 1.11 e 5.15 non sono incluse nel rilascio di luglio e sono integrate nel mese di ottobre: </w:t>
      </w:r>
    </w:p>
    <w:p w14:paraId="60861A5E" w14:textId="77777777" w:rsidR="00F54AC8" w:rsidRPr="00F54AC8" w:rsidRDefault="00F54AC8" w:rsidP="00F54AC8">
      <w:pPr>
        <w:jc w:val="both"/>
        <w:rPr>
          <w:rFonts w:ascii="Arial" w:hAnsi="Arial" w:cs="Arial"/>
          <w:sz w:val="20"/>
          <w:szCs w:val="20"/>
        </w:rPr>
      </w:pPr>
      <w:r w:rsidRPr="00F54AC8">
        <w:rPr>
          <w:rFonts w:ascii="Arial" w:hAnsi="Arial" w:cs="Arial"/>
          <w:sz w:val="20"/>
          <w:szCs w:val="20"/>
        </w:rPr>
        <w:t>Tavola 1.11 Incidenti stradali, morti e feriti per comune capoluogo di provincia - Anno 2021</w:t>
      </w:r>
    </w:p>
    <w:p w14:paraId="13AE6A9B" w14:textId="77777777" w:rsidR="00F54AC8" w:rsidRPr="00F54AC8" w:rsidRDefault="00F54AC8" w:rsidP="00F54AC8">
      <w:pPr>
        <w:jc w:val="both"/>
        <w:rPr>
          <w:rFonts w:ascii="Arial" w:hAnsi="Arial" w:cs="Arial"/>
          <w:sz w:val="20"/>
          <w:szCs w:val="20"/>
        </w:rPr>
      </w:pPr>
      <w:r w:rsidRPr="00F54AC8">
        <w:rPr>
          <w:rFonts w:ascii="Arial" w:hAnsi="Arial" w:cs="Arial"/>
          <w:sz w:val="20"/>
          <w:szCs w:val="20"/>
        </w:rPr>
        <w:t xml:space="preserve">Tavola 5.15 Indicatori dell'incidentalità stradale per provincia e regione - Anno 2021 (tassi per 100.000 abitanti e indicatori per 10.000 veicoli circolanti)     </w:t>
      </w:r>
    </w:p>
    <w:p w14:paraId="253C89B6" w14:textId="77777777" w:rsidR="00F54AC8" w:rsidRPr="00F54AC8" w:rsidRDefault="00F54AC8" w:rsidP="00F54AC8">
      <w:pPr>
        <w:tabs>
          <w:tab w:val="left" w:pos="3548"/>
        </w:tabs>
        <w:jc w:val="both"/>
        <w:rPr>
          <w:rFonts w:ascii="Arial" w:hAnsi="Arial" w:cs="Arial"/>
          <w:sz w:val="20"/>
          <w:szCs w:val="20"/>
        </w:rPr>
      </w:pPr>
      <w:r w:rsidRPr="00F54AC8">
        <w:rPr>
          <w:rFonts w:ascii="Arial" w:hAnsi="Arial" w:cs="Arial"/>
          <w:sz w:val="20"/>
          <w:szCs w:val="20"/>
        </w:rPr>
        <w:t xml:space="preserve">                       </w:t>
      </w:r>
      <w:r w:rsidRPr="00F54AC8">
        <w:rPr>
          <w:rFonts w:ascii="Arial" w:hAnsi="Arial" w:cs="Arial"/>
          <w:sz w:val="20"/>
          <w:szCs w:val="20"/>
        </w:rPr>
        <w:tab/>
      </w:r>
    </w:p>
    <w:p w14:paraId="1E7BD6F2" w14:textId="77777777" w:rsidR="00F54AC8" w:rsidRPr="00F54AC8" w:rsidRDefault="00F54AC8" w:rsidP="00F54AC8">
      <w:pPr>
        <w:numPr>
          <w:ilvl w:val="0"/>
          <w:numId w:val="42"/>
        </w:numPr>
        <w:ind w:left="426"/>
        <w:contextualSpacing/>
        <w:jc w:val="both"/>
        <w:rPr>
          <w:rFonts w:ascii="Arial" w:hAnsi="Arial" w:cs="Arial"/>
          <w:sz w:val="20"/>
          <w:szCs w:val="20"/>
        </w:rPr>
      </w:pPr>
      <w:r w:rsidRPr="00F54AC8">
        <w:rPr>
          <w:rFonts w:ascii="Arial" w:hAnsi="Arial" w:cs="Arial"/>
          <w:sz w:val="20"/>
          <w:szCs w:val="20"/>
        </w:rPr>
        <w:t>Le tavole 1.5, 1.10, 2.11, 2.12, 2.22, 2.23, 2.40 sono fornite a livello regionale, sono rilasciate nel mese di ottobre con maggior dettaglio territoriale.</w:t>
      </w:r>
    </w:p>
    <w:p w14:paraId="0FF1D4DD" w14:textId="77777777" w:rsidR="00F54AC8" w:rsidRPr="00F54AC8" w:rsidRDefault="00F54AC8" w:rsidP="00F54AC8">
      <w:pPr>
        <w:tabs>
          <w:tab w:val="left" w:pos="1301"/>
        </w:tabs>
        <w:ind w:left="15"/>
        <w:jc w:val="both"/>
        <w:rPr>
          <w:rFonts w:ascii="Arial" w:hAnsi="Arial" w:cs="Arial"/>
          <w:sz w:val="20"/>
          <w:szCs w:val="20"/>
        </w:rPr>
      </w:pPr>
      <w:r w:rsidRPr="00F54AC8">
        <w:rPr>
          <w:rFonts w:ascii="Arial" w:hAnsi="Arial" w:cs="Arial"/>
          <w:sz w:val="20"/>
          <w:szCs w:val="20"/>
        </w:rPr>
        <w:t>Tavola 1.5   Incidenti stradali, morti e feriti per regioni e grandi comuni - Anni 2019, 2020 e 2021</w:t>
      </w:r>
    </w:p>
    <w:p w14:paraId="4B7FD8AF" w14:textId="77777777" w:rsidR="00F54AC8" w:rsidRPr="00F54AC8" w:rsidRDefault="00F54AC8" w:rsidP="00F54AC8">
      <w:pPr>
        <w:tabs>
          <w:tab w:val="left" w:pos="1301"/>
        </w:tabs>
        <w:ind w:left="15"/>
        <w:jc w:val="both"/>
        <w:rPr>
          <w:rFonts w:ascii="Arial" w:hAnsi="Arial" w:cs="Arial"/>
          <w:sz w:val="20"/>
          <w:szCs w:val="20"/>
        </w:rPr>
      </w:pPr>
      <w:r w:rsidRPr="00F54AC8">
        <w:rPr>
          <w:rFonts w:ascii="Arial" w:hAnsi="Arial" w:cs="Arial"/>
          <w:sz w:val="20"/>
          <w:szCs w:val="20"/>
        </w:rPr>
        <w:t>Tavola 1.10 Incidenti stradali, morti e feriti per regione - Anno 2021</w:t>
      </w:r>
    </w:p>
    <w:p w14:paraId="02A88679" w14:textId="77777777" w:rsidR="00F54AC8" w:rsidRPr="00F54AC8" w:rsidRDefault="00F54AC8" w:rsidP="00F54AC8">
      <w:pPr>
        <w:tabs>
          <w:tab w:val="left" w:pos="1301"/>
        </w:tabs>
        <w:ind w:left="15"/>
        <w:jc w:val="both"/>
        <w:rPr>
          <w:rFonts w:ascii="Arial" w:hAnsi="Arial" w:cs="Arial"/>
          <w:sz w:val="20"/>
          <w:szCs w:val="20"/>
        </w:rPr>
      </w:pPr>
      <w:r w:rsidRPr="00F54AC8">
        <w:rPr>
          <w:rFonts w:ascii="Arial" w:hAnsi="Arial" w:cs="Arial"/>
          <w:sz w:val="20"/>
          <w:szCs w:val="20"/>
        </w:rPr>
        <w:t>Tavola 2.11 Incidenti stradali a veicoli isolati per tipo e regione - Anno 2021</w:t>
      </w:r>
    </w:p>
    <w:p w14:paraId="163B7BB8" w14:textId="77777777" w:rsidR="00F54AC8" w:rsidRPr="00F54AC8" w:rsidRDefault="00F54AC8" w:rsidP="00F54AC8">
      <w:pPr>
        <w:jc w:val="both"/>
        <w:rPr>
          <w:rFonts w:ascii="Arial" w:hAnsi="Arial" w:cs="Arial"/>
          <w:sz w:val="20"/>
          <w:szCs w:val="20"/>
        </w:rPr>
      </w:pPr>
      <w:r w:rsidRPr="00F54AC8">
        <w:rPr>
          <w:rFonts w:ascii="Arial" w:hAnsi="Arial" w:cs="Arial"/>
          <w:sz w:val="20"/>
          <w:szCs w:val="20"/>
        </w:rPr>
        <w:t>Tavola 2.22 Incidenti stradali, morti e feriti per categoria della strada, mese, provincia e regione - Anno 2021</w:t>
      </w:r>
    </w:p>
    <w:p w14:paraId="0305F853" w14:textId="77777777" w:rsidR="00F54AC8" w:rsidRPr="00F54AC8" w:rsidRDefault="00F54AC8" w:rsidP="00F54AC8">
      <w:pPr>
        <w:tabs>
          <w:tab w:val="left" w:pos="1301"/>
        </w:tabs>
        <w:ind w:left="15"/>
        <w:jc w:val="both"/>
        <w:rPr>
          <w:rFonts w:ascii="Arial" w:hAnsi="Arial" w:cs="Arial"/>
          <w:sz w:val="20"/>
          <w:szCs w:val="20"/>
        </w:rPr>
      </w:pPr>
      <w:r w:rsidRPr="00F54AC8">
        <w:rPr>
          <w:rFonts w:ascii="Arial" w:hAnsi="Arial" w:cs="Arial"/>
          <w:sz w:val="20"/>
          <w:szCs w:val="20"/>
        </w:rPr>
        <w:t>Tavola 2.23 Incidenti stradali su strade urbane ed extraurbane per caratteristica della strada e regione - Anno 2021</w:t>
      </w:r>
    </w:p>
    <w:p w14:paraId="17142E4B" w14:textId="77777777" w:rsidR="00F54AC8" w:rsidRPr="00F54AC8" w:rsidRDefault="00F54AC8" w:rsidP="00F54AC8">
      <w:pPr>
        <w:tabs>
          <w:tab w:val="left" w:pos="1301"/>
        </w:tabs>
        <w:ind w:left="15"/>
        <w:jc w:val="both"/>
        <w:rPr>
          <w:rFonts w:ascii="Arial" w:hAnsi="Arial" w:cs="Arial"/>
          <w:sz w:val="20"/>
          <w:szCs w:val="20"/>
        </w:rPr>
      </w:pPr>
      <w:r w:rsidRPr="00F54AC8">
        <w:rPr>
          <w:rFonts w:ascii="Arial" w:hAnsi="Arial" w:cs="Arial"/>
          <w:sz w:val="20"/>
          <w:szCs w:val="20"/>
        </w:rPr>
        <w:t>Tavola 2.40 -</w:t>
      </w:r>
      <w:r w:rsidRPr="00F54AC8">
        <w:rPr>
          <w:rFonts w:ascii="Arial" w:hAnsi="Arial" w:cs="Arial"/>
          <w:sz w:val="20"/>
          <w:szCs w:val="20"/>
        </w:rPr>
        <w:tab/>
        <w:t>Incidenti stradali a veicoli isolati e tra veicoli per regione - Anno 2021</w:t>
      </w:r>
    </w:p>
    <w:p w14:paraId="7C40B82E" w14:textId="77777777" w:rsidR="00F54AC8" w:rsidRPr="00F54AC8" w:rsidRDefault="00F54AC8" w:rsidP="00F54AC8">
      <w:pPr>
        <w:jc w:val="both"/>
        <w:rPr>
          <w:rFonts w:ascii="Arial" w:hAnsi="Arial" w:cs="Arial"/>
          <w:sz w:val="20"/>
          <w:szCs w:val="20"/>
        </w:rPr>
      </w:pPr>
    </w:p>
    <w:p w14:paraId="59E6B1BF" w14:textId="77777777" w:rsidR="00F54AC8" w:rsidRPr="00F54AC8" w:rsidRDefault="00F54AC8" w:rsidP="00F54AC8">
      <w:pPr>
        <w:numPr>
          <w:ilvl w:val="0"/>
          <w:numId w:val="42"/>
        </w:numPr>
        <w:ind w:left="284" w:hanging="218"/>
        <w:contextualSpacing/>
        <w:jc w:val="both"/>
        <w:rPr>
          <w:rFonts w:ascii="Arial" w:hAnsi="Arial" w:cs="Arial"/>
          <w:sz w:val="20"/>
          <w:szCs w:val="20"/>
        </w:rPr>
      </w:pPr>
      <w:r w:rsidRPr="00F54AC8">
        <w:rPr>
          <w:rFonts w:ascii="Arial" w:hAnsi="Arial" w:cs="Arial"/>
          <w:sz w:val="20"/>
          <w:szCs w:val="20"/>
        </w:rPr>
        <w:t>Le tavole 1.6, 1.7, 1.8, 1.9, 2.13, 2.22 contengono la disaggregazione per la localizzazione degli incidenti in soli tre gruppi (Strade urbane, Autostrade, altre strade), sono aggiornate nel mese di ottobre con maggior dettaglio.</w:t>
      </w:r>
    </w:p>
    <w:p w14:paraId="023DE21A" w14:textId="77777777" w:rsidR="00F54AC8" w:rsidRPr="00F54AC8" w:rsidRDefault="00F54AC8" w:rsidP="00F54AC8">
      <w:pPr>
        <w:jc w:val="both"/>
        <w:rPr>
          <w:rFonts w:ascii="Arial" w:hAnsi="Arial" w:cs="Arial"/>
          <w:sz w:val="20"/>
          <w:szCs w:val="20"/>
        </w:rPr>
      </w:pPr>
    </w:p>
    <w:p w14:paraId="3D8B038A" w14:textId="77777777" w:rsidR="008F317B" w:rsidRDefault="008F317B" w:rsidP="00F54AC8">
      <w:pPr>
        <w:tabs>
          <w:tab w:val="left" w:pos="1301"/>
        </w:tabs>
        <w:ind w:left="15"/>
        <w:jc w:val="both"/>
        <w:rPr>
          <w:rFonts w:ascii="Arial" w:hAnsi="Arial" w:cs="Arial"/>
          <w:sz w:val="20"/>
          <w:szCs w:val="20"/>
        </w:rPr>
      </w:pPr>
      <w:r>
        <w:rPr>
          <w:rFonts w:ascii="Arial" w:hAnsi="Arial" w:cs="Arial"/>
          <w:sz w:val="20"/>
          <w:szCs w:val="20"/>
        </w:rPr>
        <w:br w:type="page"/>
      </w:r>
    </w:p>
    <w:p w14:paraId="34AD5C48" w14:textId="77777777" w:rsidR="008F317B" w:rsidRDefault="008F317B" w:rsidP="00F54AC8">
      <w:pPr>
        <w:tabs>
          <w:tab w:val="left" w:pos="1301"/>
        </w:tabs>
        <w:ind w:left="15"/>
        <w:jc w:val="both"/>
        <w:rPr>
          <w:rFonts w:ascii="Arial" w:hAnsi="Arial" w:cs="Arial"/>
          <w:sz w:val="20"/>
          <w:szCs w:val="20"/>
        </w:rPr>
      </w:pPr>
    </w:p>
    <w:p w14:paraId="1B17C0A3" w14:textId="5B610944" w:rsidR="00F54AC8" w:rsidRPr="00F54AC8" w:rsidRDefault="00F54AC8" w:rsidP="00F54AC8">
      <w:pPr>
        <w:tabs>
          <w:tab w:val="left" w:pos="1301"/>
        </w:tabs>
        <w:ind w:left="15"/>
        <w:jc w:val="both"/>
        <w:rPr>
          <w:rFonts w:ascii="Arial" w:hAnsi="Arial" w:cs="Arial"/>
          <w:sz w:val="20"/>
          <w:szCs w:val="20"/>
        </w:rPr>
      </w:pPr>
      <w:r w:rsidRPr="00F54AC8">
        <w:rPr>
          <w:rFonts w:ascii="Arial" w:hAnsi="Arial" w:cs="Arial"/>
          <w:sz w:val="20"/>
          <w:szCs w:val="20"/>
        </w:rPr>
        <w:t>Tavola 1.6 Incidenti stradali, morti e feriti per categoria della strada, mese e regione - Anno 2021</w:t>
      </w:r>
    </w:p>
    <w:p w14:paraId="7945E1BD" w14:textId="77777777" w:rsidR="00F54AC8" w:rsidRPr="00F54AC8" w:rsidRDefault="00F54AC8" w:rsidP="00F54AC8">
      <w:pPr>
        <w:tabs>
          <w:tab w:val="left" w:pos="1301"/>
        </w:tabs>
        <w:ind w:left="15"/>
        <w:jc w:val="both"/>
        <w:rPr>
          <w:rFonts w:ascii="Arial" w:hAnsi="Arial" w:cs="Arial"/>
          <w:sz w:val="20"/>
          <w:szCs w:val="20"/>
        </w:rPr>
      </w:pPr>
      <w:r w:rsidRPr="00F54AC8">
        <w:rPr>
          <w:rFonts w:ascii="Arial" w:hAnsi="Arial" w:cs="Arial"/>
          <w:sz w:val="20"/>
          <w:szCs w:val="20"/>
        </w:rPr>
        <w:t>Tavola 1.7 Incidenti stradali, morti e feriti secondo la categoria della strada e le condizioni del tempo - Anno 2021</w:t>
      </w:r>
    </w:p>
    <w:p w14:paraId="08F20D2B" w14:textId="77777777" w:rsidR="00F54AC8" w:rsidRPr="00F54AC8" w:rsidRDefault="00F54AC8" w:rsidP="00F54AC8">
      <w:pPr>
        <w:tabs>
          <w:tab w:val="left" w:pos="1301"/>
        </w:tabs>
        <w:ind w:left="15"/>
        <w:jc w:val="both"/>
        <w:rPr>
          <w:rFonts w:ascii="Arial" w:hAnsi="Arial" w:cs="Arial"/>
          <w:sz w:val="20"/>
          <w:szCs w:val="20"/>
        </w:rPr>
      </w:pPr>
      <w:r w:rsidRPr="00F54AC8">
        <w:rPr>
          <w:rFonts w:ascii="Arial" w:hAnsi="Arial" w:cs="Arial"/>
          <w:sz w:val="20"/>
          <w:szCs w:val="20"/>
        </w:rPr>
        <w:t>Tavola 1.8 Incidenti stradali, morti e feriti secondo la categoria e il tipo di strada - Anno 2021</w:t>
      </w:r>
    </w:p>
    <w:p w14:paraId="48EFE7B0" w14:textId="77777777" w:rsidR="00F54AC8" w:rsidRPr="00F54AC8" w:rsidRDefault="00F54AC8" w:rsidP="00F54AC8">
      <w:pPr>
        <w:tabs>
          <w:tab w:val="left" w:pos="993"/>
        </w:tabs>
        <w:ind w:left="15"/>
        <w:jc w:val="both"/>
        <w:rPr>
          <w:rFonts w:ascii="Arial" w:hAnsi="Arial" w:cs="Arial"/>
          <w:sz w:val="20"/>
          <w:szCs w:val="20"/>
        </w:rPr>
      </w:pPr>
      <w:r w:rsidRPr="00F54AC8">
        <w:rPr>
          <w:rFonts w:ascii="Arial" w:hAnsi="Arial" w:cs="Arial"/>
          <w:sz w:val="20"/>
          <w:szCs w:val="20"/>
        </w:rPr>
        <w:t>Tavola 1.9</w:t>
      </w:r>
      <w:r w:rsidRPr="00F54AC8">
        <w:rPr>
          <w:rFonts w:ascii="Arial" w:hAnsi="Arial" w:cs="Arial"/>
          <w:sz w:val="20"/>
          <w:szCs w:val="20"/>
        </w:rPr>
        <w:tab/>
        <w:t>Incidenti stradali, morti e feriti per categoria di strada, caratteristica della strada, tipo di pavimentazione e fondo stradale - Anno 2021</w:t>
      </w:r>
    </w:p>
    <w:p w14:paraId="36982633" w14:textId="77777777" w:rsidR="00F54AC8" w:rsidRPr="00F54AC8" w:rsidRDefault="00F54AC8" w:rsidP="00F54AC8">
      <w:pPr>
        <w:tabs>
          <w:tab w:val="left" w:pos="1301"/>
        </w:tabs>
        <w:ind w:left="15"/>
        <w:jc w:val="both"/>
        <w:rPr>
          <w:rFonts w:ascii="Arial" w:hAnsi="Arial" w:cs="Arial"/>
          <w:sz w:val="20"/>
          <w:szCs w:val="20"/>
        </w:rPr>
      </w:pPr>
      <w:r w:rsidRPr="00F54AC8">
        <w:rPr>
          <w:rFonts w:ascii="Arial" w:hAnsi="Arial" w:cs="Arial"/>
          <w:sz w:val="20"/>
          <w:szCs w:val="20"/>
        </w:rPr>
        <w:t>Tavola 2.13 Incidenti stradali, morti e feriti per categoria della strada e circostanza accertata o presunta dell'incidente - Anno 2021</w:t>
      </w:r>
    </w:p>
    <w:p w14:paraId="79CD9A7B" w14:textId="4D2AF814" w:rsidR="00F54AC8" w:rsidRPr="00F54AC8" w:rsidRDefault="00F54AC8" w:rsidP="00F54AC8">
      <w:pPr>
        <w:jc w:val="both"/>
        <w:rPr>
          <w:rFonts w:ascii="Arial" w:hAnsi="Arial" w:cs="Arial"/>
          <w:sz w:val="20"/>
          <w:szCs w:val="20"/>
        </w:rPr>
      </w:pPr>
      <w:r w:rsidRPr="00F54AC8">
        <w:rPr>
          <w:rFonts w:ascii="Arial" w:hAnsi="Arial" w:cs="Arial"/>
          <w:sz w:val="20"/>
          <w:szCs w:val="20"/>
        </w:rPr>
        <w:t>Tavola 2.22 Incidenti stradali, morti e feriti per categoria della strada, mese, provincia e regione - Anno 2021</w:t>
      </w:r>
    </w:p>
    <w:p w14:paraId="0923340C" w14:textId="77777777" w:rsidR="00F54AC8" w:rsidRPr="00F54AC8" w:rsidRDefault="00F54AC8" w:rsidP="00F54AC8">
      <w:pPr>
        <w:jc w:val="both"/>
        <w:rPr>
          <w:rFonts w:ascii="Arial" w:hAnsi="Arial" w:cs="Arial"/>
          <w:sz w:val="20"/>
          <w:szCs w:val="20"/>
        </w:rPr>
      </w:pPr>
    </w:p>
    <w:p w14:paraId="26905F57" w14:textId="77777777" w:rsidR="00F54AC8" w:rsidRPr="00F54AC8" w:rsidRDefault="00F54AC8" w:rsidP="00F54AC8">
      <w:pPr>
        <w:spacing w:after="120"/>
        <w:jc w:val="both"/>
        <w:rPr>
          <w:rFonts w:ascii="Arial" w:hAnsi="Arial" w:cs="Arial"/>
          <w:sz w:val="20"/>
          <w:szCs w:val="20"/>
        </w:rPr>
      </w:pPr>
      <w:r w:rsidRPr="00F54AC8">
        <w:rPr>
          <w:rFonts w:ascii="Arial" w:hAnsi="Arial" w:cs="Arial"/>
          <w:sz w:val="20"/>
          <w:szCs w:val="20"/>
        </w:rPr>
        <w:t xml:space="preserve">I file di </w:t>
      </w:r>
      <w:proofErr w:type="spellStart"/>
      <w:r w:rsidRPr="00F54AC8">
        <w:rPr>
          <w:rFonts w:ascii="Arial" w:hAnsi="Arial" w:cs="Arial"/>
          <w:sz w:val="20"/>
          <w:szCs w:val="20"/>
        </w:rPr>
        <w:t>microdati</w:t>
      </w:r>
      <w:proofErr w:type="spellEnd"/>
      <w:r w:rsidRPr="00F54AC8">
        <w:rPr>
          <w:rFonts w:ascii="Arial" w:hAnsi="Arial" w:cs="Arial"/>
          <w:sz w:val="20"/>
          <w:szCs w:val="20"/>
        </w:rPr>
        <w:t xml:space="preserve"> sono disponibili, su richiesta autorizzata, per tutti i soggetti del Sistema Statistico Nazionale e per il territorio di competenza. Tali file sono a disposizione presso il Laboratorio di Analisi dei Dati Elementari (ADELE). Grazie a tale servizio è possibile, per i ricercatori e gli studiosi, effettuare le analisi statistiche sui </w:t>
      </w:r>
      <w:proofErr w:type="spellStart"/>
      <w:r w:rsidRPr="00F54AC8">
        <w:rPr>
          <w:rFonts w:ascii="Arial" w:hAnsi="Arial" w:cs="Arial"/>
          <w:sz w:val="20"/>
          <w:szCs w:val="20"/>
        </w:rPr>
        <w:t>microdati</w:t>
      </w:r>
      <w:proofErr w:type="spellEnd"/>
      <w:r w:rsidRPr="00F54AC8">
        <w:rPr>
          <w:rFonts w:ascii="Arial" w:hAnsi="Arial" w:cs="Arial"/>
          <w:sz w:val="20"/>
          <w:szCs w:val="20"/>
        </w:rPr>
        <w:t xml:space="preserve"> derivanti dall’indagini dell'Istituto, nel rispetto delle norme sulla riservatezza dei dati personali. </w:t>
      </w:r>
    </w:p>
    <w:p w14:paraId="0BA6622D" w14:textId="77777777" w:rsidR="00F54AC8" w:rsidRPr="00F54AC8" w:rsidRDefault="00F54AC8" w:rsidP="00F54AC8">
      <w:pPr>
        <w:spacing w:after="120"/>
        <w:jc w:val="both"/>
        <w:rPr>
          <w:rFonts w:ascii="Arial" w:hAnsi="Arial" w:cs="Arial"/>
          <w:sz w:val="20"/>
          <w:szCs w:val="20"/>
        </w:rPr>
      </w:pPr>
      <w:r w:rsidRPr="00F54AC8">
        <w:rPr>
          <w:rFonts w:ascii="Arial" w:hAnsi="Arial" w:cs="Arial"/>
          <w:sz w:val="20"/>
          <w:szCs w:val="20"/>
        </w:rPr>
        <w:t xml:space="preserve">I dati della rilevazione, inoltre, sono disponibili anche sul data </w:t>
      </w:r>
      <w:proofErr w:type="spellStart"/>
      <w:r w:rsidRPr="00F54AC8">
        <w:rPr>
          <w:rFonts w:ascii="Arial" w:hAnsi="Arial" w:cs="Arial"/>
          <w:sz w:val="20"/>
          <w:szCs w:val="20"/>
        </w:rPr>
        <w:t>warehouse</w:t>
      </w:r>
      <w:proofErr w:type="spellEnd"/>
      <w:r w:rsidRPr="00F54AC8">
        <w:rPr>
          <w:rFonts w:ascii="Arial" w:hAnsi="Arial" w:cs="Arial"/>
          <w:sz w:val="20"/>
          <w:szCs w:val="20"/>
        </w:rPr>
        <w:t xml:space="preserve"> dell’Istat, </w:t>
      </w:r>
      <w:proofErr w:type="spellStart"/>
      <w:proofErr w:type="gramStart"/>
      <w:r w:rsidRPr="00F54AC8">
        <w:rPr>
          <w:rFonts w:ascii="Arial" w:hAnsi="Arial" w:cs="Arial"/>
          <w:sz w:val="20"/>
          <w:szCs w:val="20"/>
        </w:rPr>
        <w:t>I.stat</w:t>
      </w:r>
      <w:proofErr w:type="spellEnd"/>
      <w:proofErr w:type="gramEnd"/>
      <w:r w:rsidRPr="00F54AC8">
        <w:rPr>
          <w:rFonts w:ascii="Arial" w:hAnsi="Arial" w:cs="Arial"/>
          <w:sz w:val="20"/>
          <w:szCs w:val="20"/>
        </w:rPr>
        <w:t xml:space="preserve">. </w:t>
      </w:r>
    </w:p>
    <w:p w14:paraId="09111C76" w14:textId="77777777" w:rsidR="00F54AC8" w:rsidRPr="00F54AC8" w:rsidRDefault="00F54AC8" w:rsidP="00F54AC8">
      <w:pPr>
        <w:spacing w:after="120"/>
        <w:jc w:val="both"/>
        <w:rPr>
          <w:rFonts w:ascii="Arial" w:hAnsi="Arial" w:cs="Arial"/>
          <w:sz w:val="20"/>
          <w:szCs w:val="20"/>
        </w:rPr>
      </w:pPr>
      <w:r w:rsidRPr="00F54AC8">
        <w:rPr>
          <w:rFonts w:ascii="Arial" w:hAnsi="Arial" w:cs="Arial"/>
          <w:sz w:val="20"/>
          <w:szCs w:val="20"/>
        </w:rPr>
        <w:t xml:space="preserve">Sono a disposizione, a partire dai dati relativi all’anno 2010, anche i File per la ricerca e i File ad uso pubblico </w:t>
      </w:r>
      <w:proofErr w:type="spellStart"/>
      <w:r w:rsidRPr="00F54AC8">
        <w:rPr>
          <w:rFonts w:ascii="Arial" w:hAnsi="Arial" w:cs="Arial"/>
          <w:sz w:val="20"/>
          <w:szCs w:val="20"/>
        </w:rPr>
        <w:t>mIcro.STAT</w:t>
      </w:r>
      <w:proofErr w:type="spellEnd"/>
      <w:r w:rsidRPr="00F54AC8">
        <w:rPr>
          <w:rFonts w:ascii="Arial" w:hAnsi="Arial" w:cs="Arial"/>
          <w:sz w:val="20"/>
          <w:szCs w:val="20"/>
        </w:rPr>
        <w:t xml:space="preserve">. I file per la ricerca sono realizzati per soddisfare esigenze di ricerca scientifica e sottoposti a particolari trattamenti statistici che limitano l'identificabilità del rispondente, pur mantenendo un elevato livello di dettaglio informativo. I file ad uso pubblico </w:t>
      </w:r>
      <w:proofErr w:type="spellStart"/>
      <w:r w:rsidRPr="00F54AC8">
        <w:rPr>
          <w:rFonts w:ascii="Arial" w:hAnsi="Arial" w:cs="Arial"/>
          <w:sz w:val="20"/>
          <w:szCs w:val="20"/>
        </w:rPr>
        <w:t>mIcro.STAT</w:t>
      </w:r>
      <w:proofErr w:type="spellEnd"/>
      <w:r w:rsidRPr="00F54AC8">
        <w:rPr>
          <w:rFonts w:ascii="Arial" w:hAnsi="Arial" w:cs="Arial"/>
          <w:sz w:val="20"/>
          <w:szCs w:val="20"/>
        </w:rPr>
        <w:t xml:space="preserve"> sono, invece, collezioni di dati elementari scaricabili liberamente e gratuitamente dal sito Istat e sviluppati per alcune particolari indagini a partire dai corrispondenti File per la ricerca, dei quali contengono, però, un minor dettaglio informativo. </w:t>
      </w:r>
    </w:p>
    <w:p w14:paraId="707D929C" w14:textId="77777777" w:rsidR="00F54AC8" w:rsidRPr="00F54AC8" w:rsidRDefault="00F54AC8" w:rsidP="00F54AC8">
      <w:pPr>
        <w:spacing w:after="120"/>
        <w:jc w:val="both"/>
        <w:rPr>
          <w:rFonts w:ascii="Arial" w:hAnsi="Arial" w:cs="Arial"/>
          <w:sz w:val="20"/>
          <w:szCs w:val="20"/>
        </w:rPr>
      </w:pPr>
      <w:r w:rsidRPr="00F54AC8">
        <w:rPr>
          <w:rFonts w:ascii="Arial" w:hAnsi="Arial" w:cs="Arial"/>
          <w:sz w:val="20"/>
          <w:szCs w:val="20"/>
        </w:rPr>
        <w:t xml:space="preserve">Il dato sugli incidenti stradali con lesioni a persone in Italia viene fornito, inoltre, alla Commissione europea per l’aggiornamento della base dati CARE - Community database on road </w:t>
      </w:r>
      <w:proofErr w:type="spellStart"/>
      <w:r w:rsidRPr="00F54AC8">
        <w:rPr>
          <w:rFonts w:ascii="Arial" w:hAnsi="Arial" w:cs="Arial"/>
          <w:sz w:val="20"/>
          <w:szCs w:val="20"/>
        </w:rPr>
        <w:t>accidents</w:t>
      </w:r>
      <w:proofErr w:type="spellEnd"/>
      <w:r w:rsidRPr="00F54AC8">
        <w:rPr>
          <w:rFonts w:ascii="Arial" w:hAnsi="Arial" w:cs="Arial"/>
          <w:sz w:val="20"/>
          <w:szCs w:val="20"/>
        </w:rPr>
        <w:t xml:space="preserve"> </w:t>
      </w:r>
      <w:proofErr w:type="spellStart"/>
      <w:r w:rsidRPr="00F54AC8">
        <w:rPr>
          <w:rFonts w:ascii="Arial" w:hAnsi="Arial" w:cs="Arial"/>
          <w:sz w:val="20"/>
          <w:szCs w:val="20"/>
        </w:rPr>
        <w:t>resulting</w:t>
      </w:r>
      <w:proofErr w:type="spellEnd"/>
      <w:r w:rsidRPr="00F54AC8">
        <w:rPr>
          <w:rFonts w:ascii="Arial" w:hAnsi="Arial" w:cs="Arial"/>
          <w:sz w:val="20"/>
          <w:szCs w:val="20"/>
        </w:rPr>
        <w:t xml:space="preserve"> in </w:t>
      </w:r>
      <w:proofErr w:type="spellStart"/>
      <w:r w:rsidRPr="00F54AC8">
        <w:rPr>
          <w:rFonts w:ascii="Arial" w:hAnsi="Arial" w:cs="Arial"/>
          <w:sz w:val="20"/>
          <w:szCs w:val="20"/>
        </w:rPr>
        <w:t>death</w:t>
      </w:r>
      <w:proofErr w:type="spellEnd"/>
      <w:r w:rsidRPr="00F54AC8">
        <w:rPr>
          <w:rFonts w:ascii="Arial" w:hAnsi="Arial" w:cs="Arial"/>
          <w:sz w:val="20"/>
          <w:szCs w:val="20"/>
        </w:rPr>
        <w:t xml:space="preserve"> or </w:t>
      </w:r>
      <w:proofErr w:type="spellStart"/>
      <w:r w:rsidRPr="00F54AC8">
        <w:rPr>
          <w:rFonts w:ascii="Arial" w:hAnsi="Arial" w:cs="Arial"/>
          <w:sz w:val="20"/>
          <w:szCs w:val="20"/>
        </w:rPr>
        <w:t>injury</w:t>
      </w:r>
      <w:proofErr w:type="spellEnd"/>
      <w:r w:rsidRPr="00F54AC8">
        <w:rPr>
          <w:rFonts w:ascii="Arial" w:hAnsi="Arial" w:cs="Arial"/>
          <w:sz w:val="20"/>
          <w:szCs w:val="20"/>
        </w:rPr>
        <w:t xml:space="preserve"> -DG-MOVE </w:t>
      </w:r>
      <w:proofErr w:type="spellStart"/>
      <w:r w:rsidRPr="00F54AC8">
        <w:rPr>
          <w:rFonts w:ascii="Arial" w:hAnsi="Arial" w:cs="Arial"/>
          <w:sz w:val="20"/>
          <w:szCs w:val="20"/>
        </w:rPr>
        <w:t>European</w:t>
      </w:r>
      <w:proofErr w:type="spellEnd"/>
      <w:r w:rsidRPr="00F54AC8">
        <w:rPr>
          <w:rFonts w:ascii="Arial" w:hAnsi="Arial" w:cs="Arial"/>
          <w:sz w:val="20"/>
          <w:szCs w:val="20"/>
        </w:rPr>
        <w:t xml:space="preserve"> </w:t>
      </w:r>
      <w:proofErr w:type="spellStart"/>
      <w:r w:rsidRPr="00F54AC8">
        <w:rPr>
          <w:rFonts w:ascii="Arial" w:hAnsi="Arial" w:cs="Arial"/>
          <w:sz w:val="20"/>
          <w:szCs w:val="20"/>
        </w:rPr>
        <w:t>Commission</w:t>
      </w:r>
      <w:proofErr w:type="spellEnd"/>
      <w:r w:rsidRPr="00F54AC8">
        <w:rPr>
          <w:rFonts w:ascii="Arial" w:hAnsi="Arial" w:cs="Arial"/>
          <w:sz w:val="20"/>
          <w:szCs w:val="20"/>
        </w:rPr>
        <w:t>.</w:t>
      </w:r>
    </w:p>
    <w:p w14:paraId="1C6E7046" w14:textId="77777777" w:rsidR="00F54AC8" w:rsidRPr="00F54AC8" w:rsidRDefault="00F54AC8" w:rsidP="00F54AC8">
      <w:pPr>
        <w:numPr>
          <w:ilvl w:val="0"/>
          <w:numId w:val="41"/>
        </w:numPr>
        <w:tabs>
          <w:tab w:val="num" w:pos="284"/>
        </w:tabs>
        <w:ind w:left="284" w:firstLine="0"/>
        <w:jc w:val="both"/>
        <w:rPr>
          <w:rFonts w:ascii="Arial" w:hAnsi="Arial" w:cs="Arial"/>
          <w:sz w:val="20"/>
          <w:szCs w:val="20"/>
        </w:rPr>
      </w:pPr>
      <w:r w:rsidRPr="00F54AC8">
        <w:rPr>
          <w:rFonts w:ascii="Arial" w:hAnsi="Arial" w:cs="Arial"/>
          <w:sz w:val="20"/>
          <w:szCs w:val="20"/>
        </w:rPr>
        <w:t xml:space="preserve">File per la Ricerca – Incidenti stradali </w:t>
      </w:r>
      <w:hyperlink r:id="rId36" w:history="1">
        <w:r w:rsidRPr="00F54AC8">
          <w:rPr>
            <w:rFonts w:ascii="Arial" w:hAnsi="Arial" w:cs="Arial"/>
            <w:color w:val="0000FF"/>
            <w:sz w:val="20"/>
            <w:szCs w:val="20"/>
            <w:u w:val="single"/>
          </w:rPr>
          <w:t>http://www.istat.it/it/archivio/76750</w:t>
        </w:r>
      </w:hyperlink>
      <w:r w:rsidRPr="00F54AC8">
        <w:rPr>
          <w:rFonts w:ascii="Arial" w:hAnsi="Arial" w:cs="Arial"/>
          <w:sz w:val="20"/>
          <w:szCs w:val="20"/>
        </w:rPr>
        <w:t xml:space="preserve">     </w:t>
      </w:r>
    </w:p>
    <w:p w14:paraId="53D5DBCF" w14:textId="77777777" w:rsidR="00F54AC8" w:rsidRPr="00F54AC8" w:rsidRDefault="00F54AC8" w:rsidP="00F54AC8">
      <w:pPr>
        <w:numPr>
          <w:ilvl w:val="0"/>
          <w:numId w:val="41"/>
        </w:numPr>
        <w:tabs>
          <w:tab w:val="num" w:pos="284"/>
        </w:tabs>
        <w:ind w:left="284" w:firstLine="0"/>
        <w:jc w:val="both"/>
        <w:rPr>
          <w:rFonts w:ascii="Arial" w:hAnsi="Arial" w:cs="Arial"/>
          <w:sz w:val="20"/>
          <w:szCs w:val="20"/>
        </w:rPr>
      </w:pPr>
      <w:r w:rsidRPr="00F54AC8">
        <w:rPr>
          <w:rFonts w:ascii="Arial" w:hAnsi="Arial" w:cs="Arial"/>
          <w:sz w:val="20"/>
          <w:szCs w:val="20"/>
        </w:rPr>
        <w:t xml:space="preserve">File ad uso pubblico – Incidenti stradali </w:t>
      </w:r>
      <w:hyperlink r:id="rId37" w:history="1">
        <w:r w:rsidRPr="00F54AC8">
          <w:rPr>
            <w:rFonts w:ascii="Arial" w:hAnsi="Arial" w:cs="Arial"/>
            <w:color w:val="0000FF"/>
            <w:sz w:val="20"/>
            <w:szCs w:val="20"/>
            <w:u w:val="single"/>
          </w:rPr>
          <w:t>http://www.istat.it/it/archivio/87539</w:t>
        </w:r>
      </w:hyperlink>
      <w:r w:rsidRPr="00F54AC8">
        <w:rPr>
          <w:rFonts w:ascii="Arial" w:hAnsi="Arial" w:cs="Arial"/>
          <w:sz w:val="20"/>
          <w:szCs w:val="20"/>
        </w:rPr>
        <w:t xml:space="preserve">  </w:t>
      </w:r>
    </w:p>
    <w:p w14:paraId="4756A84E" w14:textId="4E5E7EBF" w:rsidR="00F54AC8" w:rsidRPr="00AC5BCF" w:rsidRDefault="00F54AC8" w:rsidP="00F54AC8">
      <w:pPr>
        <w:rPr>
          <w:rFonts w:ascii="Arial" w:hAnsi="Arial" w:cs="Arial"/>
          <w:b/>
          <w:sz w:val="22"/>
          <w:szCs w:val="22"/>
          <w:lang w:val="en-US"/>
        </w:rPr>
      </w:pPr>
      <w:r w:rsidRPr="00F54AC8">
        <w:rPr>
          <w:rFonts w:ascii="Arial" w:hAnsi="Arial" w:cs="Arial"/>
          <w:sz w:val="20"/>
          <w:szCs w:val="20"/>
          <w:lang w:val="en-US"/>
        </w:rPr>
        <w:t>CARE - Community database on road accidents resulting in death or injury – DG MOVE European Commission</w:t>
      </w:r>
      <w:r w:rsidRPr="00F54AC8">
        <w:rPr>
          <w:rFonts w:ascii="Arial" w:hAnsi="Arial" w:cs="Arial"/>
          <w:szCs w:val="20"/>
          <w:lang w:val="en-US"/>
        </w:rPr>
        <w:t xml:space="preserve"> </w:t>
      </w:r>
      <w:hyperlink r:id="rId38" w:history="1">
        <w:r w:rsidRPr="00F54AC8">
          <w:rPr>
            <w:rFonts w:ascii="Arial" w:hAnsi="Arial" w:cs="Arial"/>
            <w:color w:val="0000FF"/>
            <w:sz w:val="20"/>
            <w:szCs w:val="20"/>
            <w:u w:val="single"/>
            <w:lang w:val="en-US"/>
          </w:rPr>
          <w:t>http://ec.europa.eu/transport/road_safety/specialist/statistics/index_en.htm</w:t>
        </w:r>
      </w:hyperlink>
    </w:p>
    <w:sectPr w:rsidR="00F54AC8" w:rsidRPr="00AC5BCF" w:rsidSect="00EB4E96">
      <w:headerReference w:type="default" r:id="rId39"/>
      <w:footerReference w:type="even" r:id="rId40"/>
      <w:footerReference w:type="default" r:id="rId41"/>
      <w:headerReference w:type="first" r:id="rId42"/>
      <w:type w:val="continuous"/>
      <w:pgSz w:w="11906" w:h="16838"/>
      <w:pgMar w:top="284" w:right="680" w:bottom="680" w:left="1134" w:header="34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5C8A3B" w14:textId="77777777" w:rsidR="00F91A7B" w:rsidRDefault="00F91A7B">
      <w:r>
        <w:separator/>
      </w:r>
    </w:p>
  </w:endnote>
  <w:endnote w:type="continuationSeparator" w:id="0">
    <w:p w14:paraId="361740A7" w14:textId="77777777" w:rsidR="00F91A7B" w:rsidRDefault="00F91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ヒラギノ角ゴ Pro W3">
    <w:charset w:val="80"/>
    <w:family w:val="auto"/>
    <w:pitch w:val="variable"/>
    <w:sig w:usb0="E00002FF" w:usb1="7AC7FFFF" w:usb2="00000012" w:usb3="00000000" w:csb0="0002000D"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18F61" w14:textId="77777777" w:rsidR="00CE7F5D" w:rsidRDefault="00CE7F5D" w:rsidP="00353B70">
    <w:pPr>
      <w:pStyle w:val="Pidipagina"/>
      <w:framePr w:wrap="around" w:vAnchor="text" w:hAnchor="margin" w:y="1"/>
      <w:rPr>
        <w:rStyle w:val="Numeropagina"/>
      </w:rPr>
    </w:pPr>
    <w:r>
      <w:rPr>
        <w:rStyle w:val="Numeropagina"/>
      </w:rPr>
      <w:fldChar w:fldCharType="begin"/>
    </w:r>
    <w:r>
      <w:rPr>
        <w:rStyle w:val="Numeropagina"/>
      </w:rPr>
      <w:instrText xml:space="preserve">PAGE  </w:instrText>
    </w:r>
    <w:r>
      <w:rPr>
        <w:rStyle w:val="Numeropagina"/>
      </w:rPr>
      <w:fldChar w:fldCharType="end"/>
    </w:r>
  </w:p>
  <w:p w14:paraId="26A63316" w14:textId="77777777" w:rsidR="00CE7F5D" w:rsidRDefault="00CE7F5D" w:rsidP="008C6E65">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3BBA2" w14:textId="4972BAD5" w:rsidR="00CE7F5D" w:rsidRPr="008C6E65" w:rsidRDefault="00CE7F5D" w:rsidP="008C6E65">
    <w:pPr>
      <w:pStyle w:val="Pidipagina"/>
      <w:rPr>
        <w:rFonts w:ascii="Arial" w:hAnsi="Arial" w:cs="Arial"/>
        <w:b/>
        <w:color w:val="003366"/>
      </w:rPr>
    </w:pPr>
    <w:r>
      <w:rPr>
        <w:rFonts w:ascii="Arial" w:hAnsi="Arial" w:cs="Arial"/>
        <w:noProof/>
      </w:rPr>
      <w:drawing>
        <wp:inline distT="0" distB="0" distL="0" distR="0" wp14:anchorId="64BE7D54" wp14:editId="7ADAF753">
          <wp:extent cx="544195" cy="152400"/>
          <wp:effectExtent l="19050" t="0" r="8255" b="0"/>
          <wp:docPr id="23" name="Immagine 27" descr="logopic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descr="logopiccolo"/>
                  <pic:cNvPicPr>
                    <a:picLocks noChangeAspect="1" noChangeArrowheads="1"/>
                  </pic:cNvPicPr>
                </pic:nvPicPr>
                <pic:blipFill>
                  <a:blip r:embed="rId1"/>
                  <a:srcRect/>
                  <a:stretch>
                    <a:fillRect/>
                  </a:stretch>
                </pic:blipFill>
                <pic:spPr bwMode="auto">
                  <a:xfrm>
                    <a:off x="0" y="0"/>
                    <a:ext cx="544195" cy="152400"/>
                  </a:xfrm>
                  <a:prstGeom prst="rect">
                    <a:avLst/>
                  </a:prstGeom>
                  <a:noFill/>
                  <a:ln w="9525">
                    <a:noFill/>
                    <a:miter lim="800000"/>
                    <a:headEnd/>
                    <a:tailEnd/>
                  </a:ln>
                </pic:spPr>
              </pic:pic>
            </a:graphicData>
          </a:graphic>
        </wp:inline>
      </w:drawing>
    </w:r>
    <w:r>
      <w:rPr>
        <w:rStyle w:val="Numeropagina"/>
        <w:rFonts w:ascii="Arial" w:hAnsi="Arial" w:cs="Arial"/>
        <w:b/>
        <w:color w:val="800000"/>
      </w:rPr>
      <w:t xml:space="preserve"> </w:t>
    </w:r>
    <w:r w:rsidRPr="004873DD">
      <w:rPr>
        <w:rStyle w:val="Numeropagina"/>
        <w:rFonts w:ascii="Arial" w:hAnsi="Arial" w:cs="Arial"/>
        <w:b/>
        <w:color w:val="800000"/>
      </w:rPr>
      <w:t>|</w:t>
    </w:r>
    <w:r>
      <w:rPr>
        <w:rStyle w:val="Numeropagina"/>
        <w:rFonts w:ascii="Arial" w:hAnsi="Arial" w:cs="Arial"/>
        <w:b/>
        <w:color w:val="800000"/>
      </w:rPr>
      <w:t xml:space="preserve"> </w:t>
    </w:r>
    <w:r w:rsidRPr="0042070F">
      <w:rPr>
        <w:rStyle w:val="Numeropagina"/>
        <w:rFonts w:ascii="Arial" w:hAnsi="Arial" w:cs="Arial"/>
        <w:b/>
        <w:color w:val="808080"/>
        <w:sz w:val="20"/>
      </w:rPr>
      <w:fldChar w:fldCharType="begin"/>
    </w:r>
    <w:r w:rsidRPr="0042070F">
      <w:rPr>
        <w:rStyle w:val="Numeropagina"/>
        <w:rFonts w:ascii="Arial" w:hAnsi="Arial" w:cs="Arial"/>
        <w:b/>
        <w:color w:val="808080"/>
        <w:sz w:val="20"/>
      </w:rPr>
      <w:instrText xml:space="preserve">PAGE  </w:instrText>
    </w:r>
    <w:r w:rsidRPr="0042070F">
      <w:rPr>
        <w:rStyle w:val="Numeropagina"/>
        <w:rFonts w:ascii="Arial" w:hAnsi="Arial" w:cs="Arial"/>
        <w:b/>
        <w:color w:val="808080"/>
        <w:sz w:val="20"/>
      </w:rPr>
      <w:fldChar w:fldCharType="separate"/>
    </w:r>
    <w:r w:rsidR="008F317B">
      <w:rPr>
        <w:rStyle w:val="Numeropagina"/>
        <w:rFonts w:ascii="Arial" w:hAnsi="Arial" w:cs="Arial"/>
        <w:b/>
        <w:noProof/>
        <w:color w:val="808080"/>
        <w:sz w:val="20"/>
      </w:rPr>
      <w:t>13</w:t>
    </w:r>
    <w:r w:rsidRPr="0042070F">
      <w:rPr>
        <w:rStyle w:val="Numeropagina"/>
        <w:rFonts w:ascii="Arial" w:hAnsi="Arial" w:cs="Arial"/>
        <w:b/>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B87E33" w14:textId="77777777" w:rsidR="00F91A7B" w:rsidRDefault="00F91A7B">
      <w:r>
        <w:separator/>
      </w:r>
    </w:p>
  </w:footnote>
  <w:footnote w:type="continuationSeparator" w:id="0">
    <w:p w14:paraId="2B6A7DA6" w14:textId="77777777" w:rsidR="00F91A7B" w:rsidRDefault="00F91A7B">
      <w:r>
        <w:continuationSeparator/>
      </w:r>
    </w:p>
  </w:footnote>
  <w:footnote w:id="1">
    <w:p w14:paraId="5A5DD503" w14:textId="0832AB59" w:rsidR="002C7F02" w:rsidRDefault="002C7F02">
      <w:pPr>
        <w:pStyle w:val="Testonotaapidipagina"/>
        <w:rPr>
          <w:rFonts w:eastAsiaTheme="minorHAnsi"/>
          <w:sz w:val="16"/>
          <w:szCs w:val="16"/>
          <w:lang w:eastAsia="en-US"/>
        </w:rPr>
      </w:pPr>
      <w:r>
        <w:rPr>
          <w:rStyle w:val="Rimandonotaapidipagina"/>
        </w:rPr>
        <w:footnoteRef/>
      </w:r>
      <w:r>
        <w:t xml:space="preserve"> </w:t>
      </w:r>
      <w:r w:rsidRPr="00275FE1">
        <w:rPr>
          <w:rFonts w:eastAsiaTheme="minorHAnsi"/>
          <w:sz w:val="16"/>
          <w:szCs w:val="16"/>
          <w:lang w:eastAsia="en-US"/>
        </w:rPr>
        <w:t>Per l’anno 2021 sono stati applicati, in via anticipatoria, nuovi parametri, aggiornati da Istat e Aci e in corso di pubblicazione.</w:t>
      </w:r>
    </w:p>
    <w:p w14:paraId="3D57E13D" w14:textId="77777777" w:rsidR="000911BA" w:rsidRDefault="000911BA">
      <w:pPr>
        <w:pStyle w:val="Testonotaapidipagina"/>
      </w:pPr>
    </w:p>
  </w:footnote>
  <w:footnote w:id="2">
    <w:p w14:paraId="40286C3A" w14:textId="757C706E" w:rsidR="00EB3DEC" w:rsidRDefault="00EB3DEC" w:rsidP="00EB3DEC">
      <w:pPr>
        <w:pStyle w:val="Paragrafoelenco"/>
        <w:widowControl w:val="0"/>
        <w:suppressAutoHyphens/>
        <w:spacing w:after="60" w:line="240" w:lineRule="auto"/>
        <w:ind w:left="0"/>
        <w:jc w:val="both"/>
        <w:rPr>
          <w:rFonts w:ascii="Arial" w:hAnsi="Arial" w:cs="Arial"/>
          <w:bCs/>
          <w:sz w:val="16"/>
          <w:szCs w:val="16"/>
        </w:rPr>
      </w:pPr>
      <w:r w:rsidRPr="004B1CD4">
        <w:rPr>
          <w:rStyle w:val="Rimandonotaapidipagina"/>
          <w:rFonts w:ascii="Arial" w:hAnsi="Arial" w:cs="Arial"/>
          <w:sz w:val="20"/>
          <w:szCs w:val="20"/>
        </w:rPr>
        <w:footnoteRef/>
      </w:r>
      <w:r w:rsidRPr="004B1CD4">
        <w:rPr>
          <w:rFonts w:ascii="Arial" w:hAnsi="Arial" w:cs="Arial"/>
          <w:bCs/>
          <w:sz w:val="16"/>
          <w:szCs w:val="16"/>
        </w:rPr>
        <w:t xml:space="preserve"> In Basilicata solo i</w:t>
      </w:r>
      <w:r w:rsidR="00434D72" w:rsidRPr="004B1CD4">
        <w:rPr>
          <w:rFonts w:ascii="Arial" w:hAnsi="Arial" w:cs="Arial"/>
          <w:bCs/>
          <w:sz w:val="16"/>
          <w:szCs w:val="16"/>
        </w:rPr>
        <w:t xml:space="preserve">l comune </w:t>
      </w:r>
      <w:r w:rsidRPr="004B1CD4">
        <w:rPr>
          <w:rFonts w:ascii="Arial" w:hAnsi="Arial" w:cs="Arial"/>
          <w:bCs/>
          <w:sz w:val="16"/>
          <w:szCs w:val="16"/>
        </w:rPr>
        <w:t>capoluog</w:t>
      </w:r>
      <w:r w:rsidR="00434D72" w:rsidRPr="004B1CD4">
        <w:rPr>
          <w:rFonts w:ascii="Arial" w:hAnsi="Arial" w:cs="Arial"/>
          <w:bCs/>
          <w:sz w:val="16"/>
          <w:szCs w:val="16"/>
        </w:rPr>
        <w:t>o</w:t>
      </w:r>
      <w:r w:rsidRPr="004B1CD4">
        <w:rPr>
          <w:rFonts w:ascii="Arial" w:hAnsi="Arial" w:cs="Arial"/>
          <w:bCs/>
          <w:sz w:val="16"/>
          <w:szCs w:val="16"/>
        </w:rPr>
        <w:t xml:space="preserve"> di </w:t>
      </w:r>
      <w:r w:rsidR="00434D72" w:rsidRPr="004B1CD4">
        <w:rPr>
          <w:rFonts w:ascii="Arial" w:hAnsi="Arial" w:cs="Arial"/>
          <w:bCs/>
          <w:sz w:val="16"/>
          <w:szCs w:val="16"/>
        </w:rPr>
        <w:t>regione</w:t>
      </w:r>
      <w:r w:rsidRPr="004B1CD4">
        <w:rPr>
          <w:rFonts w:ascii="Arial" w:hAnsi="Arial" w:cs="Arial"/>
          <w:bCs/>
          <w:sz w:val="16"/>
          <w:szCs w:val="16"/>
        </w:rPr>
        <w:t>, caratterizzandosi come centr</w:t>
      </w:r>
      <w:r w:rsidR="00434D72" w:rsidRPr="004B1CD4">
        <w:rPr>
          <w:rFonts w:ascii="Arial" w:hAnsi="Arial" w:cs="Arial"/>
          <w:bCs/>
          <w:sz w:val="16"/>
          <w:szCs w:val="16"/>
        </w:rPr>
        <w:t>o</w:t>
      </w:r>
      <w:r w:rsidRPr="004B1CD4">
        <w:rPr>
          <w:rFonts w:ascii="Arial" w:hAnsi="Arial" w:cs="Arial"/>
          <w:bCs/>
          <w:sz w:val="16"/>
          <w:szCs w:val="16"/>
        </w:rPr>
        <w:t xml:space="preserve"> di offerta di servizi, </w:t>
      </w:r>
      <w:r w:rsidR="00434D72" w:rsidRPr="004B1CD4">
        <w:rPr>
          <w:rFonts w:ascii="Arial" w:hAnsi="Arial" w:cs="Arial"/>
          <w:bCs/>
          <w:sz w:val="16"/>
          <w:szCs w:val="16"/>
        </w:rPr>
        <w:t>è</w:t>
      </w:r>
      <w:r w:rsidRPr="004B1CD4">
        <w:rPr>
          <w:rFonts w:ascii="Arial" w:hAnsi="Arial" w:cs="Arial"/>
          <w:bCs/>
          <w:sz w:val="16"/>
          <w:szCs w:val="16"/>
        </w:rPr>
        <w:t xml:space="preserve"> classificat</w:t>
      </w:r>
      <w:r w:rsidR="00434D72" w:rsidRPr="004B1CD4">
        <w:rPr>
          <w:rFonts w:ascii="Arial" w:hAnsi="Arial" w:cs="Arial"/>
          <w:bCs/>
          <w:sz w:val="16"/>
          <w:szCs w:val="16"/>
        </w:rPr>
        <w:t>o</w:t>
      </w:r>
      <w:r w:rsidRPr="004B1CD4">
        <w:rPr>
          <w:rFonts w:ascii="Arial" w:hAnsi="Arial" w:cs="Arial"/>
          <w:bCs/>
          <w:sz w:val="16"/>
          <w:szCs w:val="16"/>
        </w:rPr>
        <w:t xml:space="preserve"> come comun</w:t>
      </w:r>
      <w:r w:rsidR="00434D72" w:rsidRPr="004B1CD4">
        <w:rPr>
          <w:rFonts w:ascii="Arial" w:hAnsi="Arial" w:cs="Arial"/>
          <w:bCs/>
          <w:sz w:val="16"/>
          <w:szCs w:val="16"/>
        </w:rPr>
        <w:t xml:space="preserve">e </w:t>
      </w:r>
      <w:r w:rsidRPr="004B1CD4">
        <w:rPr>
          <w:rFonts w:ascii="Arial" w:hAnsi="Arial" w:cs="Arial"/>
          <w:bCs/>
          <w:sz w:val="16"/>
          <w:szCs w:val="16"/>
        </w:rPr>
        <w:t>Polo</w:t>
      </w:r>
      <w:r w:rsidR="004B1CD4" w:rsidRPr="004B1CD4">
        <w:rPr>
          <w:rFonts w:ascii="Arial" w:hAnsi="Arial" w:cs="Arial"/>
          <w:bCs/>
          <w:sz w:val="16"/>
          <w:szCs w:val="16"/>
        </w:rPr>
        <w:t xml:space="preserve"> </w:t>
      </w:r>
      <w:r w:rsidR="004B1CD4">
        <w:rPr>
          <w:rFonts w:ascii="Arial" w:hAnsi="Arial" w:cs="Arial"/>
          <w:bCs/>
          <w:sz w:val="16"/>
          <w:szCs w:val="16"/>
        </w:rPr>
        <w:t>e</w:t>
      </w:r>
      <w:r w:rsidR="004B1CD4" w:rsidRPr="004B1CD4">
        <w:rPr>
          <w:rFonts w:ascii="Arial" w:hAnsi="Arial" w:cs="Arial"/>
          <w:bCs/>
          <w:sz w:val="16"/>
          <w:szCs w:val="16"/>
        </w:rPr>
        <w:t xml:space="preserve"> </w:t>
      </w:r>
      <w:r w:rsidR="004B1CD4">
        <w:rPr>
          <w:rFonts w:ascii="Arial" w:hAnsi="Arial" w:cs="Arial"/>
          <w:bCs/>
          <w:sz w:val="16"/>
          <w:szCs w:val="16"/>
        </w:rPr>
        <w:t>rappresenta</w:t>
      </w:r>
      <w:r w:rsidR="004B1CD4" w:rsidRPr="004B1CD4">
        <w:rPr>
          <w:rFonts w:ascii="Arial" w:hAnsi="Arial" w:cs="Arial"/>
          <w:bCs/>
          <w:sz w:val="16"/>
          <w:szCs w:val="16"/>
        </w:rPr>
        <w:t xml:space="preserve"> il 12% </w:t>
      </w:r>
      <w:r w:rsidR="00432A10">
        <w:rPr>
          <w:rFonts w:ascii="Arial" w:hAnsi="Arial" w:cs="Arial"/>
          <w:bCs/>
          <w:sz w:val="16"/>
          <w:szCs w:val="16"/>
        </w:rPr>
        <w:t>de</w:t>
      </w:r>
      <w:r w:rsidR="00432A10" w:rsidRPr="004B1CD4">
        <w:rPr>
          <w:rFonts w:ascii="Arial" w:hAnsi="Arial" w:cs="Arial"/>
          <w:bCs/>
          <w:sz w:val="16"/>
          <w:szCs w:val="16"/>
        </w:rPr>
        <w:t xml:space="preserve">lla </w:t>
      </w:r>
      <w:r w:rsidR="004B1CD4" w:rsidRPr="004B1CD4">
        <w:rPr>
          <w:rFonts w:ascii="Arial" w:hAnsi="Arial" w:cs="Arial"/>
          <w:bCs/>
          <w:sz w:val="16"/>
          <w:szCs w:val="16"/>
        </w:rPr>
        <w:t>popolazione regionale</w:t>
      </w:r>
      <w:r w:rsidRPr="004B1CD4">
        <w:rPr>
          <w:rFonts w:ascii="Arial" w:hAnsi="Arial" w:cs="Arial"/>
          <w:bCs/>
          <w:sz w:val="16"/>
          <w:szCs w:val="16"/>
        </w:rPr>
        <w:t xml:space="preserve">. I comuni classificati come Cintura sono </w:t>
      </w:r>
      <w:r w:rsidR="00434D72" w:rsidRPr="004B1CD4">
        <w:rPr>
          <w:rFonts w:ascii="Arial" w:hAnsi="Arial" w:cs="Arial"/>
          <w:bCs/>
          <w:sz w:val="16"/>
          <w:szCs w:val="16"/>
        </w:rPr>
        <w:t>11</w:t>
      </w:r>
      <w:r w:rsidRPr="004B1CD4">
        <w:rPr>
          <w:rFonts w:ascii="Arial" w:hAnsi="Arial" w:cs="Arial"/>
          <w:bCs/>
          <w:sz w:val="16"/>
          <w:szCs w:val="16"/>
        </w:rPr>
        <w:t xml:space="preserve"> con </w:t>
      </w:r>
      <w:r w:rsidR="004B1CD4" w:rsidRPr="004B1CD4">
        <w:rPr>
          <w:rFonts w:ascii="Arial" w:hAnsi="Arial" w:cs="Arial"/>
          <w:bCs/>
          <w:sz w:val="16"/>
          <w:szCs w:val="16"/>
        </w:rPr>
        <w:t>l’8,5</w:t>
      </w:r>
      <w:r w:rsidRPr="004B1CD4">
        <w:rPr>
          <w:rFonts w:ascii="Arial" w:hAnsi="Arial" w:cs="Arial"/>
          <w:bCs/>
          <w:sz w:val="16"/>
          <w:szCs w:val="16"/>
        </w:rPr>
        <w:t xml:space="preserve">% della popolazione. Nelle Aree interne (comuni classificati come Intermedio, Periferico o Ultra periferico) ricadono </w:t>
      </w:r>
      <w:r w:rsidR="004B1CD4" w:rsidRPr="004B1CD4">
        <w:rPr>
          <w:rFonts w:ascii="Arial" w:hAnsi="Arial" w:cs="Arial"/>
          <w:bCs/>
          <w:sz w:val="16"/>
          <w:szCs w:val="16"/>
        </w:rPr>
        <w:t>119</w:t>
      </w:r>
      <w:r w:rsidRPr="004B1CD4">
        <w:rPr>
          <w:rFonts w:ascii="Arial" w:hAnsi="Arial" w:cs="Arial"/>
          <w:bCs/>
          <w:sz w:val="16"/>
          <w:szCs w:val="16"/>
        </w:rPr>
        <w:t xml:space="preserve"> comuni nei quali </w:t>
      </w:r>
      <w:r w:rsidR="006661D4">
        <w:rPr>
          <w:rFonts w:ascii="Arial" w:hAnsi="Arial" w:cs="Arial"/>
          <w:bCs/>
          <w:sz w:val="16"/>
          <w:szCs w:val="16"/>
        </w:rPr>
        <w:t>risiede</w:t>
      </w:r>
      <w:r w:rsidR="00DB295D" w:rsidRPr="004B1CD4">
        <w:rPr>
          <w:rFonts w:ascii="Arial" w:hAnsi="Arial" w:cs="Arial"/>
          <w:bCs/>
          <w:sz w:val="16"/>
          <w:szCs w:val="16"/>
        </w:rPr>
        <w:t xml:space="preserve"> </w:t>
      </w:r>
      <w:r w:rsidRPr="004B1CD4">
        <w:rPr>
          <w:rFonts w:ascii="Arial" w:hAnsi="Arial" w:cs="Arial"/>
          <w:bCs/>
          <w:sz w:val="16"/>
          <w:szCs w:val="16"/>
        </w:rPr>
        <w:t xml:space="preserve">il </w:t>
      </w:r>
      <w:r w:rsidR="004B1CD4" w:rsidRPr="004B1CD4">
        <w:rPr>
          <w:rFonts w:ascii="Arial" w:hAnsi="Arial" w:cs="Arial"/>
          <w:bCs/>
          <w:sz w:val="16"/>
          <w:szCs w:val="16"/>
        </w:rPr>
        <w:t>79,5</w:t>
      </w:r>
      <w:r w:rsidRPr="004B1CD4">
        <w:rPr>
          <w:rFonts w:ascii="Arial" w:hAnsi="Arial" w:cs="Arial"/>
          <w:bCs/>
          <w:sz w:val="16"/>
          <w:szCs w:val="16"/>
        </w:rPr>
        <w:t>% de</w:t>
      </w:r>
      <w:r w:rsidR="00140E3B">
        <w:rPr>
          <w:rFonts w:ascii="Arial" w:hAnsi="Arial" w:cs="Arial"/>
          <w:bCs/>
          <w:sz w:val="16"/>
          <w:szCs w:val="16"/>
        </w:rPr>
        <w:t>lla popolazione lucana.</w:t>
      </w:r>
    </w:p>
    <w:p w14:paraId="41F23514" w14:textId="77777777" w:rsidR="00F54AC8" w:rsidRPr="00B21AF0" w:rsidRDefault="00F54AC8" w:rsidP="00EB3DEC">
      <w:pPr>
        <w:pStyle w:val="Paragrafoelenco"/>
        <w:widowControl w:val="0"/>
        <w:suppressAutoHyphens/>
        <w:spacing w:after="60" w:line="240" w:lineRule="auto"/>
        <w:ind w:left="0"/>
        <w:jc w:val="both"/>
        <w:rPr>
          <w:rFonts w:ascii="Arial" w:hAnsi="Arial" w:cs="Arial"/>
          <w:sz w:val="16"/>
          <w:szCs w:val="16"/>
        </w:rPr>
      </w:pPr>
    </w:p>
  </w:footnote>
  <w:footnote w:id="3">
    <w:p w14:paraId="2DB50F04" w14:textId="77777777" w:rsidR="00F54AC8" w:rsidRPr="001D6F78" w:rsidRDefault="00F54AC8" w:rsidP="00F54AC8">
      <w:pPr>
        <w:pStyle w:val="Testonotaapidipagina"/>
        <w:jc w:val="both"/>
        <w:rPr>
          <w:sz w:val="18"/>
          <w:szCs w:val="16"/>
        </w:rPr>
      </w:pPr>
      <w:r w:rsidRPr="001D6F78">
        <w:rPr>
          <w:rStyle w:val="Rimandonotaapidipagina"/>
          <w:sz w:val="18"/>
          <w:szCs w:val="16"/>
        </w:rPr>
        <w:footnoteRef/>
      </w:r>
      <w:r w:rsidRPr="001D6F78">
        <w:rPr>
          <w:sz w:val="18"/>
          <w:szCs w:val="16"/>
        </w:rPr>
        <w:t xml:space="preserve"> </w:t>
      </w:r>
      <w:r w:rsidRPr="00F13C80">
        <w:rPr>
          <w:sz w:val="16"/>
          <w:szCs w:val="15"/>
        </w:rPr>
        <w:t xml:space="preserve">L’AIS è una scala di misurazione basata su un punteggio attribuito alla gravità generale della lesione, secondo l’importanza dei traumi per regione del corpo colpita. Il livello di gravità viene misurato mediante una scala ordinale a 6 livelli, le lesioni </w:t>
      </w:r>
      <w:r w:rsidRPr="00FC2157">
        <w:rPr>
          <w:sz w:val="16"/>
          <w:szCs w:val="15"/>
        </w:rPr>
        <w:t xml:space="preserve">gravi sono individuate con il punteggio MAIS 3+, ossia, il massimo valore AIS uguale o superiore a 3. Per effettuare un raccordo tra i codici AIS e la Classificazione Internazionale delle Malattie ICD9-CM o ICD10, è stata predisposta una tabella di </w:t>
      </w:r>
      <w:r w:rsidRPr="0016365B">
        <w:rPr>
          <w:i/>
          <w:sz w:val="16"/>
          <w:szCs w:val="15"/>
        </w:rPr>
        <w:t xml:space="preserve">“bridge </w:t>
      </w:r>
      <w:proofErr w:type="spellStart"/>
      <w:r w:rsidRPr="0016365B">
        <w:rPr>
          <w:i/>
          <w:sz w:val="16"/>
          <w:szCs w:val="15"/>
        </w:rPr>
        <w:t>coding</w:t>
      </w:r>
      <w:proofErr w:type="spellEnd"/>
      <w:r w:rsidRPr="0016365B">
        <w:rPr>
          <w:i/>
          <w:sz w:val="16"/>
          <w:szCs w:val="15"/>
        </w:rPr>
        <w:t>”</w:t>
      </w:r>
      <w:r w:rsidRPr="00582AEC">
        <w:rPr>
          <w:sz w:val="16"/>
          <w:szCs w:val="15"/>
        </w:rPr>
        <w:t xml:space="preserve"> </w:t>
      </w:r>
      <w:r w:rsidRPr="009966B8">
        <w:rPr>
          <w:i/>
          <w:sz w:val="16"/>
          <w:szCs w:val="15"/>
        </w:rPr>
        <w:t xml:space="preserve">Copyright </w:t>
      </w:r>
      <w:proofErr w:type="spellStart"/>
      <w:r w:rsidRPr="009966B8">
        <w:rPr>
          <w:i/>
          <w:sz w:val="16"/>
          <w:szCs w:val="15"/>
        </w:rPr>
        <w:t>Association</w:t>
      </w:r>
      <w:proofErr w:type="spellEnd"/>
      <w:r w:rsidRPr="009966B8">
        <w:rPr>
          <w:i/>
          <w:sz w:val="16"/>
          <w:szCs w:val="15"/>
        </w:rPr>
        <w:t xml:space="preserve"> for the </w:t>
      </w:r>
      <w:proofErr w:type="spellStart"/>
      <w:r w:rsidRPr="009966B8">
        <w:rPr>
          <w:i/>
          <w:sz w:val="16"/>
          <w:szCs w:val="15"/>
        </w:rPr>
        <w:t>Advancement</w:t>
      </w:r>
      <w:proofErr w:type="spellEnd"/>
      <w:r w:rsidRPr="009966B8">
        <w:rPr>
          <w:i/>
          <w:sz w:val="16"/>
          <w:szCs w:val="15"/>
        </w:rPr>
        <w:t xml:space="preserve"> of Automotive Medicine</w:t>
      </w:r>
      <w:r w:rsidRPr="00582AEC">
        <w:rPr>
          <w:sz w:val="16"/>
          <w:szCs w:val="15"/>
        </w:rPr>
        <w:t xml:space="preserve"> (AAAM).</w:t>
      </w:r>
    </w:p>
  </w:footnote>
  <w:footnote w:id="4">
    <w:p w14:paraId="160DC63A" w14:textId="77777777" w:rsidR="00F54AC8" w:rsidRPr="00215C8F" w:rsidRDefault="00F54AC8" w:rsidP="00F54AC8">
      <w:pPr>
        <w:pStyle w:val="Testonotaapidipagina"/>
        <w:spacing w:after="40"/>
        <w:jc w:val="both"/>
        <w:rPr>
          <w:sz w:val="16"/>
          <w:szCs w:val="16"/>
        </w:rPr>
      </w:pPr>
      <w:r w:rsidRPr="001D6F78">
        <w:rPr>
          <w:rStyle w:val="Rimandonotaapidipagina"/>
          <w:sz w:val="18"/>
        </w:rPr>
        <w:footnoteRef/>
      </w:r>
      <w:r>
        <w:t xml:space="preserve"> </w:t>
      </w:r>
      <w:bookmarkStart w:id="6" w:name="DataCharacteristics"/>
      <w:r w:rsidRPr="00215C8F">
        <w:rPr>
          <w:sz w:val="16"/>
          <w:szCs w:val="16"/>
        </w:rPr>
        <w:t>A partire dai dati riferiti all’anno 2011 è stata rilevata l’informazione completa sull’ora e i minuti di accadimento dell’incidente</w:t>
      </w:r>
      <w:r>
        <w:rPr>
          <w:sz w:val="16"/>
          <w:szCs w:val="16"/>
        </w:rPr>
        <w:t>. Il</w:t>
      </w:r>
      <w:r w:rsidRPr="00215C8F">
        <w:rPr>
          <w:sz w:val="16"/>
          <w:szCs w:val="16"/>
        </w:rPr>
        <w:t xml:space="preserve"> criterio di arrotondamento, a partire dall’informazione su ora e minuti, sotto indicato</w:t>
      </w:r>
      <w:r>
        <w:rPr>
          <w:sz w:val="16"/>
          <w:szCs w:val="16"/>
        </w:rPr>
        <w:t xml:space="preserve"> è il seguente: d</w:t>
      </w:r>
      <w:r w:rsidRPr="00215C8F">
        <w:rPr>
          <w:sz w:val="16"/>
          <w:szCs w:val="16"/>
        </w:rPr>
        <w:t>alle ore 00.0</w:t>
      </w:r>
      <w:r>
        <w:rPr>
          <w:sz w:val="16"/>
          <w:szCs w:val="16"/>
        </w:rPr>
        <w:t>1</w:t>
      </w:r>
      <w:r w:rsidRPr="00215C8F">
        <w:rPr>
          <w:sz w:val="16"/>
          <w:szCs w:val="16"/>
        </w:rPr>
        <w:t xml:space="preserve"> alle ore 0</w:t>
      </w:r>
      <w:r>
        <w:rPr>
          <w:sz w:val="16"/>
          <w:szCs w:val="16"/>
        </w:rPr>
        <w:t>1</w:t>
      </w:r>
      <w:r w:rsidRPr="00215C8F">
        <w:rPr>
          <w:sz w:val="16"/>
          <w:szCs w:val="16"/>
        </w:rPr>
        <w:t>.</w:t>
      </w:r>
      <w:r>
        <w:rPr>
          <w:sz w:val="16"/>
          <w:szCs w:val="16"/>
        </w:rPr>
        <w:t>00</w:t>
      </w:r>
      <w:r w:rsidRPr="00215C8F">
        <w:rPr>
          <w:sz w:val="16"/>
          <w:szCs w:val="16"/>
        </w:rPr>
        <w:t xml:space="preserve"> = 1</w:t>
      </w:r>
      <w:r w:rsidRPr="00215C8F">
        <w:rPr>
          <w:sz w:val="16"/>
          <w:szCs w:val="16"/>
          <w:vertAlign w:val="superscript"/>
        </w:rPr>
        <w:t xml:space="preserve">a </w:t>
      </w:r>
      <w:r w:rsidRPr="00215C8F">
        <w:rPr>
          <w:sz w:val="16"/>
          <w:szCs w:val="16"/>
        </w:rPr>
        <w:t>ora</w:t>
      </w:r>
      <w:r>
        <w:rPr>
          <w:sz w:val="16"/>
          <w:szCs w:val="16"/>
        </w:rPr>
        <w:t xml:space="preserve">, </w:t>
      </w:r>
      <w:r w:rsidRPr="00215C8F">
        <w:rPr>
          <w:sz w:val="16"/>
          <w:szCs w:val="16"/>
        </w:rPr>
        <w:t>dalle ore 01.0</w:t>
      </w:r>
      <w:r>
        <w:rPr>
          <w:sz w:val="16"/>
          <w:szCs w:val="16"/>
        </w:rPr>
        <w:t>1</w:t>
      </w:r>
      <w:r w:rsidRPr="00215C8F">
        <w:rPr>
          <w:sz w:val="16"/>
          <w:szCs w:val="16"/>
        </w:rPr>
        <w:t xml:space="preserve"> alle ore 0</w:t>
      </w:r>
      <w:r>
        <w:rPr>
          <w:sz w:val="16"/>
          <w:szCs w:val="16"/>
        </w:rPr>
        <w:t>2</w:t>
      </w:r>
      <w:r w:rsidRPr="00215C8F">
        <w:rPr>
          <w:sz w:val="16"/>
          <w:szCs w:val="16"/>
        </w:rPr>
        <w:t>.</w:t>
      </w:r>
      <w:r>
        <w:rPr>
          <w:sz w:val="16"/>
          <w:szCs w:val="16"/>
        </w:rPr>
        <w:t>00</w:t>
      </w:r>
      <w:r w:rsidRPr="00215C8F">
        <w:rPr>
          <w:sz w:val="16"/>
          <w:szCs w:val="16"/>
        </w:rPr>
        <w:t xml:space="preserve"> = 2</w:t>
      </w:r>
      <w:r w:rsidRPr="00215C8F">
        <w:rPr>
          <w:sz w:val="16"/>
          <w:szCs w:val="16"/>
          <w:vertAlign w:val="superscript"/>
        </w:rPr>
        <w:t>a</w:t>
      </w:r>
      <w:r w:rsidRPr="00215C8F">
        <w:rPr>
          <w:sz w:val="16"/>
          <w:szCs w:val="16"/>
        </w:rPr>
        <w:t xml:space="preserve"> </w:t>
      </w:r>
      <w:proofErr w:type="gramStart"/>
      <w:r w:rsidRPr="00215C8F">
        <w:rPr>
          <w:sz w:val="16"/>
          <w:szCs w:val="16"/>
        </w:rPr>
        <w:t>ora</w:t>
      </w:r>
      <w:r>
        <w:rPr>
          <w:sz w:val="16"/>
          <w:szCs w:val="16"/>
        </w:rPr>
        <w:t>,…</w:t>
      </w:r>
      <w:proofErr w:type="gramEnd"/>
      <w:r>
        <w:rPr>
          <w:sz w:val="16"/>
          <w:szCs w:val="16"/>
        </w:rPr>
        <w:t xml:space="preserve">……, </w:t>
      </w:r>
      <w:r w:rsidRPr="00215C8F">
        <w:rPr>
          <w:sz w:val="16"/>
          <w:szCs w:val="16"/>
        </w:rPr>
        <w:t>dalle ore 23.0</w:t>
      </w:r>
      <w:r>
        <w:rPr>
          <w:sz w:val="16"/>
          <w:szCs w:val="16"/>
        </w:rPr>
        <w:t>1</w:t>
      </w:r>
      <w:r w:rsidRPr="00215C8F">
        <w:rPr>
          <w:sz w:val="16"/>
          <w:szCs w:val="16"/>
        </w:rPr>
        <w:t xml:space="preserve"> alle ore 2</w:t>
      </w:r>
      <w:r>
        <w:rPr>
          <w:sz w:val="16"/>
          <w:szCs w:val="16"/>
        </w:rPr>
        <w:t>3</w:t>
      </w:r>
      <w:r w:rsidRPr="00215C8F">
        <w:rPr>
          <w:sz w:val="16"/>
          <w:szCs w:val="16"/>
        </w:rPr>
        <w:t>.</w:t>
      </w:r>
      <w:r>
        <w:rPr>
          <w:sz w:val="16"/>
          <w:szCs w:val="16"/>
        </w:rPr>
        <w:t>59</w:t>
      </w:r>
      <w:r w:rsidRPr="00215C8F">
        <w:rPr>
          <w:sz w:val="16"/>
          <w:szCs w:val="16"/>
        </w:rPr>
        <w:t xml:space="preserve"> </w:t>
      </w:r>
      <w:r>
        <w:rPr>
          <w:sz w:val="16"/>
          <w:szCs w:val="16"/>
        </w:rPr>
        <w:t xml:space="preserve">, oppure, 00,00 </w:t>
      </w:r>
      <w:r w:rsidRPr="00215C8F">
        <w:rPr>
          <w:sz w:val="16"/>
          <w:szCs w:val="16"/>
        </w:rPr>
        <w:t>= 24</w:t>
      </w:r>
      <w:r w:rsidRPr="00215C8F">
        <w:rPr>
          <w:sz w:val="16"/>
          <w:szCs w:val="16"/>
          <w:vertAlign w:val="superscript"/>
        </w:rPr>
        <w:t>a</w:t>
      </w:r>
      <w:r w:rsidRPr="00215C8F">
        <w:rPr>
          <w:sz w:val="16"/>
          <w:szCs w:val="16"/>
        </w:rPr>
        <w:t xml:space="preserve"> ora</w:t>
      </w:r>
      <w:r>
        <w:rPr>
          <w:sz w:val="16"/>
          <w:szCs w:val="16"/>
        </w:rPr>
        <w:t xml:space="preserve">, </w:t>
      </w:r>
      <w:r w:rsidRPr="00215C8F">
        <w:rPr>
          <w:sz w:val="16"/>
          <w:szCs w:val="16"/>
        </w:rPr>
        <w:t>ora imprecisata = 25</w:t>
      </w:r>
      <w:r w:rsidRPr="00215C8F">
        <w:rPr>
          <w:sz w:val="16"/>
          <w:szCs w:val="16"/>
          <w:vertAlign w:val="superscript"/>
        </w:rPr>
        <w:t>a</w:t>
      </w:r>
      <w:r w:rsidRPr="00215C8F">
        <w:rPr>
          <w:sz w:val="16"/>
          <w:szCs w:val="16"/>
        </w:rPr>
        <w:t xml:space="preserve"> ora</w:t>
      </w:r>
      <w:bookmarkEnd w:id="6"/>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AB2E0" w14:textId="5F82F73C" w:rsidR="00CE7F5D" w:rsidRDefault="008465A2">
    <w:pPr>
      <w:pStyle w:val="Intestazione"/>
    </w:pPr>
    <w:r>
      <w:rPr>
        <w:noProof/>
      </w:rPr>
      <w:drawing>
        <wp:inline distT="0" distB="0" distL="0" distR="0" wp14:anchorId="12A2118C" wp14:editId="6E87E1C7">
          <wp:extent cx="1676400" cy="608798"/>
          <wp:effectExtent l="0" t="0" r="0" b="1270"/>
          <wp:docPr id="22" name="Immagine 22" descr="C:\Users\micucci\Desktop\KIT\BASILICATA\Logo Basilic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ucci\Desktop\KIT\BASILICATA\Logo Basilica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8626" cy="60960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9BFC8" w14:textId="1939970F" w:rsidR="00CE7F5D" w:rsidRDefault="00985D39">
    <w:pPr>
      <w:pStyle w:val="Intestazione"/>
    </w:pPr>
    <w:r w:rsidRPr="0035770E">
      <w:rPr>
        <w:noProof/>
      </w:rPr>
      <mc:AlternateContent>
        <mc:Choice Requires="wps">
          <w:drawing>
            <wp:anchor distT="0" distB="0" distL="114300" distR="114300" simplePos="0" relativeHeight="251659264" behindDoc="0" locked="0" layoutInCell="1" allowOverlap="1" wp14:anchorId="5164E66D" wp14:editId="726B9B19">
              <wp:simplePos x="0" y="0"/>
              <wp:positionH relativeFrom="column">
                <wp:posOffset>5223510</wp:posOffset>
              </wp:positionH>
              <wp:positionV relativeFrom="paragraph">
                <wp:posOffset>441325</wp:posOffset>
              </wp:positionV>
              <wp:extent cx="994410" cy="701675"/>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994410" cy="701675"/>
                      </a:xfrm>
                      <a:prstGeom prst="rect">
                        <a:avLst/>
                      </a:prstGeom>
                      <a:solidFill>
                        <a:schemeClr val="lt1"/>
                      </a:solidFill>
                      <a:ln w="6350">
                        <a:noFill/>
                      </a:ln>
                    </wps:spPr>
                    <wps:txbx>
                      <w:txbxContent>
                        <w:p w14:paraId="64DBF59B" w14:textId="77777777" w:rsidR="00985D39" w:rsidRPr="008465A2" w:rsidRDefault="00985D39" w:rsidP="00985D39">
                          <w:pPr>
                            <w:spacing w:after="120" w:line="180" w:lineRule="exact"/>
                            <w:rPr>
                              <w:rFonts w:ascii="Arial Narrow" w:hAnsi="Arial Narrow"/>
                              <w:sz w:val="18"/>
                              <w:szCs w:val="18"/>
                            </w:rPr>
                          </w:pPr>
                          <w:r w:rsidRPr="008465A2">
                            <w:rPr>
                              <w:rFonts w:ascii="Arial Narrow" w:hAnsi="Arial Narrow"/>
                              <w:sz w:val="18"/>
                              <w:szCs w:val="18"/>
                            </w:rPr>
                            <w:t>http://www.istat.it</w:t>
                          </w:r>
                        </w:p>
                        <w:p w14:paraId="656A3357" w14:textId="77777777" w:rsidR="00985D39" w:rsidRPr="00B367ED" w:rsidRDefault="00985D39" w:rsidP="00985D39">
                          <w:pPr>
                            <w:spacing w:after="120" w:line="180" w:lineRule="exact"/>
                            <w:rPr>
                              <w:rFonts w:ascii="Arial Narrow" w:hAnsi="Arial Narrow"/>
                              <w:b/>
                              <w:bCs/>
                              <w:sz w:val="18"/>
                              <w:szCs w:val="18"/>
                              <w:lang w:val="en-US"/>
                            </w:rPr>
                          </w:pPr>
                          <w:r w:rsidRPr="008465A2">
                            <w:rPr>
                              <w:rFonts w:ascii="Arial Narrow" w:hAnsi="Arial Narrow"/>
                              <w:b/>
                              <w:bCs/>
                              <w:sz w:val="18"/>
                              <w:szCs w:val="18"/>
                            </w:rPr>
                            <w:t>Ufficio Stampa</w:t>
                          </w:r>
                          <w:r w:rsidRPr="008465A2">
                            <w:rPr>
                              <w:rFonts w:ascii="Arial Narrow" w:hAnsi="Arial Narrow"/>
                              <w:b/>
                              <w:bCs/>
                              <w:sz w:val="18"/>
                              <w:szCs w:val="18"/>
                            </w:rPr>
                            <w:br/>
                          </w:r>
                          <w:r w:rsidRPr="008465A2">
                            <w:rPr>
                              <w:rFonts w:ascii="Arial Narrow" w:hAnsi="Arial Narrow"/>
                              <w:sz w:val="18"/>
                              <w:szCs w:val="18"/>
                            </w:rPr>
                            <w:t xml:space="preserve">tel. </w:t>
                          </w:r>
                          <w:r w:rsidRPr="00F73BDE">
                            <w:rPr>
                              <w:rFonts w:ascii="Arial Narrow" w:hAnsi="Arial Narrow"/>
                              <w:sz w:val="18"/>
                              <w:szCs w:val="18"/>
                              <w:lang w:val="en-US"/>
                            </w:rPr>
                            <w:t>+39 06 4673.2243/4</w:t>
                          </w:r>
                        </w:p>
                        <w:p w14:paraId="3640905C" w14:textId="77777777" w:rsidR="00985D39" w:rsidRPr="0035770E" w:rsidRDefault="00985D39" w:rsidP="00985D39">
                          <w:pPr>
                            <w:spacing w:after="120" w:line="180" w:lineRule="exact"/>
                            <w:rPr>
                              <w:rFonts w:ascii="Arial Narrow" w:hAnsi="Arial Narrow"/>
                              <w:b/>
                              <w:bCs/>
                              <w:color w:val="7F7F7F"/>
                              <w:sz w:val="18"/>
                              <w:szCs w:val="18"/>
                              <w:lang w:val="en-US"/>
                            </w:rPr>
                          </w:pPr>
                          <w:r w:rsidRPr="0035770E">
                            <w:rPr>
                              <w:rFonts w:ascii="Arial Narrow" w:hAnsi="Arial Narrow"/>
                              <w:b/>
                              <w:bCs/>
                              <w:color w:val="7F7F7F"/>
                              <w:sz w:val="18"/>
                              <w:szCs w:val="18"/>
                              <w:lang w:val="en-US"/>
                            </w:rPr>
                            <w:t>ufficiostampa@istat.it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164E66D" id="_x0000_t202" coordsize="21600,21600" o:spt="202" path="m,l,21600r21600,l21600,xe">
              <v:stroke joinstyle="miter"/>
              <v:path gradientshapeok="t" o:connecttype="rect"/>
            </v:shapetype>
            <v:shape id="Casella di testo 4" o:spid="_x0000_s1026" type="#_x0000_t202" style="position:absolute;margin-left:411.3pt;margin-top:34.75pt;width:78.3pt;height:5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" fillcolor="white [3201]" stroked="f" strokeweight=".5pt">
              <v:textbox inset="0,0,0,0">
                <w:txbxContent>
                  <w:p w14:paraId="64DBF59B" w14:textId="77777777" w:rsidR="00985D39" w:rsidRPr="008465A2" w:rsidRDefault="00985D39" w:rsidP="00985D39">
                    <w:pPr>
                      <w:spacing w:after="120" w:line="180" w:lineRule="exact"/>
                      <w:rPr>
                        <w:rFonts w:ascii="Arial Narrow" w:hAnsi="Arial Narrow"/>
                        <w:sz w:val="18"/>
                        <w:szCs w:val="18"/>
                      </w:rPr>
                    </w:pPr>
                    <w:r w:rsidRPr="008465A2">
                      <w:rPr>
                        <w:rFonts w:ascii="Arial Narrow" w:hAnsi="Arial Narrow"/>
                        <w:sz w:val="18"/>
                        <w:szCs w:val="18"/>
                      </w:rPr>
                      <w:t>http://www.istat.it</w:t>
                    </w:r>
                  </w:p>
                  <w:p w14:paraId="656A3357" w14:textId="77777777" w:rsidR="00985D39" w:rsidRPr="00B367ED" w:rsidRDefault="00985D39" w:rsidP="00985D39">
                    <w:pPr>
                      <w:spacing w:after="120" w:line="180" w:lineRule="exact"/>
                      <w:rPr>
                        <w:rFonts w:ascii="Arial Narrow" w:hAnsi="Arial Narrow"/>
                        <w:b/>
                        <w:bCs/>
                        <w:sz w:val="18"/>
                        <w:szCs w:val="18"/>
                        <w:lang w:val="en-US"/>
                      </w:rPr>
                    </w:pPr>
                    <w:r w:rsidRPr="008465A2">
                      <w:rPr>
                        <w:rFonts w:ascii="Arial Narrow" w:hAnsi="Arial Narrow"/>
                        <w:b/>
                        <w:bCs/>
                        <w:sz w:val="18"/>
                        <w:szCs w:val="18"/>
                      </w:rPr>
                      <w:t>Ufficio Stampa</w:t>
                    </w:r>
                    <w:r w:rsidRPr="008465A2">
                      <w:rPr>
                        <w:rFonts w:ascii="Arial Narrow" w:hAnsi="Arial Narrow"/>
                        <w:b/>
                        <w:bCs/>
                        <w:sz w:val="18"/>
                        <w:szCs w:val="18"/>
                      </w:rPr>
                      <w:br/>
                    </w:r>
                    <w:r w:rsidRPr="008465A2">
                      <w:rPr>
                        <w:rFonts w:ascii="Arial Narrow" w:hAnsi="Arial Narrow"/>
                        <w:sz w:val="18"/>
                        <w:szCs w:val="18"/>
                      </w:rPr>
                      <w:t xml:space="preserve">tel. </w:t>
                    </w:r>
                    <w:r w:rsidRPr="00F73BDE">
                      <w:rPr>
                        <w:rFonts w:ascii="Arial Narrow" w:hAnsi="Arial Narrow"/>
                        <w:sz w:val="18"/>
                        <w:szCs w:val="18"/>
                        <w:lang w:val="en-US"/>
                      </w:rPr>
                      <w:t>+39 06 4673.2243/4</w:t>
                    </w:r>
                  </w:p>
                  <w:p w14:paraId="3640905C" w14:textId="77777777" w:rsidR="00985D39" w:rsidRPr="0035770E" w:rsidRDefault="00985D39" w:rsidP="00985D39">
                    <w:pPr>
                      <w:spacing w:after="120" w:line="180" w:lineRule="exact"/>
                      <w:rPr>
                        <w:rFonts w:ascii="Arial Narrow" w:hAnsi="Arial Narrow"/>
                        <w:b/>
                        <w:bCs/>
                        <w:color w:val="7F7F7F"/>
                        <w:sz w:val="18"/>
                        <w:szCs w:val="18"/>
                        <w:lang w:val="en-US"/>
                      </w:rPr>
                    </w:pPr>
                    <w:r w:rsidRPr="0035770E">
                      <w:rPr>
                        <w:rFonts w:ascii="Arial Narrow" w:hAnsi="Arial Narrow"/>
                        <w:b/>
                        <w:bCs/>
                        <w:color w:val="7F7F7F"/>
                        <w:sz w:val="18"/>
                        <w:szCs w:val="18"/>
                        <w:lang w:val="en-US"/>
                      </w:rPr>
                      <w:t>ufficiostampa@istat.it</w:t>
                    </w:r>
                  </w:p>
                </w:txbxContent>
              </v:textbox>
            </v:shape>
          </w:pict>
        </mc:Fallback>
      </mc:AlternateContent>
    </w:r>
    <w:r>
      <w:rPr>
        <w:noProof/>
      </w:rPr>
      <w:drawing>
        <wp:inline distT="0" distB="0" distL="0" distR="0" wp14:anchorId="666E00EB" wp14:editId="34C5DF87">
          <wp:extent cx="6408420" cy="124714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8420" cy="12471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C5446"/>
    <w:multiLevelType w:val="hybridMultilevel"/>
    <w:tmpl w:val="86308360"/>
    <w:lvl w:ilvl="0" w:tplc="58F07F4A">
      <w:start w:val="1"/>
      <w:numFmt w:val="decimal"/>
      <w:pStyle w:val="01Titolocapitolo"/>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 w15:restartNumberingAfterBreak="0">
    <w:nsid w:val="08B361A4"/>
    <w:multiLevelType w:val="hybridMultilevel"/>
    <w:tmpl w:val="D0C4794A"/>
    <w:lvl w:ilvl="0" w:tplc="F340A834">
      <w:start w:val="1"/>
      <w:numFmt w:val="lowerLetter"/>
      <w:lvlText w:val="(%1)"/>
      <w:lvlJc w:val="left"/>
      <w:pPr>
        <w:ind w:left="720" w:hanging="360"/>
      </w:pPr>
      <w:rPr>
        <w:rFonts w:hint="default"/>
        <w:color w:val="auto"/>
        <w:sz w:val="1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A394CC3"/>
    <w:multiLevelType w:val="hybridMultilevel"/>
    <w:tmpl w:val="F38C0284"/>
    <w:lvl w:ilvl="0" w:tplc="91D4DBAC">
      <w:start w:val="1"/>
      <w:numFmt w:val="decimal"/>
      <w:lvlText w:val="%1."/>
      <w:lvlJc w:val="left"/>
      <w:pPr>
        <w:tabs>
          <w:tab w:val="num" w:pos="2174"/>
        </w:tabs>
        <w:ind w:left="2174" w:hanging="360"/>
      </w:pPr>
      <w:rPr>
        <w:rFonts w:hint="default"/>
      </w:rPr>
    </w:lvl>
    <w:lvl w:ilvl="1" w:tplc="04100019" w:tentative="1">
      <w:start w:val="1"/>
      <w:numFmt w:val="lowerLetter"/>
      <w:lvlText w:val="%2."/>
      <w:lvlJc w:val="left"/>
      <w:pPr>
        <w:tabs>
          <w:tab w:val="num" w:pos="2894"/>
        </w:tabs>
        <w:ind w:left="2894" w:hanging="360"/>
      </w:pPr>
    </w:lvl>
    <w:lvl w:ilvl="2" w:tplc="0410001B" w:tentative="1">
      <w:start w:val="1"/>
      <w:numFmt w:val="lowerRoman"/>
      <w:lvlText w:val="%3."/>
      <w:lvlJc w:val="right"/>
      <w:pPr>
        <w:tabs>
          <w:tab w:val="num" w:pos="3614"/>
        </w:tabs>
        <w:ind w:left="3614" w:hanging="180"/>
      </w:pPr>
    </w:lvl>
    <w:lvl w:ilvl="3" w:tplc="0410000F" w:tentative="1">
      <w:start w:val="1"/>
      <w:numFmt w:val="decimal"/>
      <w:lvlText w:val="%4."/>
      <w:lvlJc w:val="left"/>
      <w:pPr>
        <w:tabs>
          <w:tab w:val="num" w:pos="4334"/>
        </w:tabs>
        <w:ind w:left="4334" w:hanging="360"/>
      </w:pPr>
    </w:lvl>
    <w:lvl w:ilvl="4" w:tplc="04100019" w:tentative="1">
      <w:start w:val="1"/>
      <w:numFmt w:val="lowerLetter"/>
      <w:lvlText w:val="%5."/>
      <w:lvlJc w:val="left"/>
      <w:pPr>
        <w:tabs>
          <w:tab w:val="num" w:pos="5054"/>
        </w:tabs>
        <w:ind w:left="5054" w:hanging="360"/>
      </w:pPr>
    </w:lvl>
    <w:lvl w:ilvl="5" w:tplc="0410001B" w:tentative="1">
      <w:start w:val="1"/>
      <w:numFmt w:val="lowerRoman"/>
      <w:lvlText w:val="%6."/>
      <w:lvlJc w:val="right"/>
      <w:pPr>
        <w:tabs>
          <w:tab w:val="num" w:pos="5774"/>
        </w:tabs>
        <w:ind w:left="5774" w:hanging="180"/>
      </w:pPr>
    </w:lvl>
    <w:lvl w:ilvl="6" w:tplc="0410000F" w:tentative="1">
      <w:start w:val="1"/>
      <w:numFmt w:val="decimal"/>
      <w:lvlText w:val="%7."/>
      <w:lvlJc w:val="left"/>
      <w:pPr>
        <w:tabs>
          <w:tab w:val="num" w:pos="6494"/>
        </w:tabs>
        <w:ind w:left="6494" w:hanging="360"/>
      </w:pPr>
    </w:lvl>
    <w:lvl w:ilvl="7" w:tplc="04100019" w:tentative="1">
      <w:start w:val="1"/>
      <w:numFmt w:val="lowerLetter"/>
      <w:lvlText w:val="%8."/>
      <w:lvlJc w:val="left"/>
      <w:pPr>
        <w:tabs>
          <w:tab w:val="num" w:pos="7214"/>
        </w:tabs>
        <w:ind w:left="7214" w:hanging="360"/>
      </w:pPr>
    </w:lvl>
    <w:lvl w:ilvl="8" w:tplc="0410001B" w:tentative="1">
      <w:start w:val="1"/>
      <w:numFmt w:val="lowerRoman"/>
      <w:lvlText w:val="%9."/>
      <w:lvlJc w:val="right"/>
      <w:pPr>
        <w:tabs>
          <w:tab w:val="num" w:pos="7934"/>
        </w:tabs>
        <w:ind w:left="7934" w:hanging="180"/>
      </w:pPr>
    </w:lvl>
  </w:abstractNum>
  <w:abstractNum w:abstractNumId="3" w15:restartNumberingAfterBreak="0">
    <w:nsid w:val="0CE73655"/>
    <w:multiLevelType w:val="hybridMultilevel"/>
    <w:tmpl w:val="B6348838"/>
    <w:lvl w:ilvl="0" w:tplc="6628AC7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1250D1"/>
    <w:multiLevelType w:val="hybridMultilevel"/>
    <w:tmpl w:val="78D4C65E"/>
    <w:lvl w:ilvl="0" w:tplc="B128F748">
      <w:start w:val="1"/>
      <w:numFmt w:val="bullet"/>
      <w:pStyle w:val="04Elencopuntato"/>
      <w:lvlText w:val=""/>
      <w:lvlJc w:val="left"/>
      <w:pPr>
        <w:ind w:left="502" w:hanging="360"/>
      </w:pPr>
      <w:rPr>
        <w:rFonts w:ascii="Wingdings 2" w:hAnsi="Wingdings 2" w:hint="default"/>
        <w:color w:val="CC0000"/>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5" w15:restartNumberingAfterBreak="0">
    <w:nsid w:val="11A053E0"/>
    <w:multiLevelType w:val="hybridMultilevel"/>
    <w:tmpl w:val="9E74474A"/>
    <w:lvl w:ilvl="0" w:tplc="D22A3516">
      <w:start w:val="1"/>
      <w:numFmt w:val="bullet"/>
      <w:lvlText w:val="o"/>
      <w:lvlJc w:val="left"/>
      <w:pPr>
        <w:tabs>
          <w:tab w:val="num" w:pos="1440"/>
        </w:tabs>
        <w:ind w:left="144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FE6B19"/>
    <w:multiLevelType w:val="hybridMultilevel"/>
    <w:tmpl w:val="F07EC5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A46FB6"/>
    <w:multiLevelType w:val="multilevel"/>
    <w:tmpl w:val="BD54C0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689446E"/>
    <w:multiLevelType w:val="hybridMultilevel"/>
    <w:tmpl w:val="4E68535E"/>
    <w:lvl w:ilvl="0" w:tplc="24120AB0">
      <w:numFmt w:val="bullet"/>
      <w:lvlText w:val=""/>
      <w:lvlJc w:val="left"/>
      <w:pPr>
        <w:ind w:left="2174" w:hanging="360"/>
      </w:pPr>
      <w:rPr>
        <w:rFonts w:ascii="Symbol" w:eastAsia="Times New Roman" w:hAnsi="Symbol" w:cs="Arial" w:hint="default"/>
        <w:color w:val="000000"/>
        <w:sz w:val="16"/>
      </w:rPr>
    </w:lvl>
    <w:lvl w:ilvl="1" w:tplc="04100003" w:tentative="1">
      <w:start w:val="1"/>
      <w:numFmt w:val="bullet"/>
      <w:lvlText w:val="o"/>
      <w:lvlJc w:val="left"/>
      <w:pPr>
        <w:ind w:left="2894" w:hanging="360"/>
      </w:pPr>
      <w:rPr>
        <w:rFonts w:ascii="Courier New" w:hAnsi="Courier New" w:cs="Courier New" w:hint="default"/>
      </w:rPr>
    </w:lvl>
    <w:lvl w:ilvl="2" w:tplc="04100005" w:tentative="1">
      <w:start w:val="1"/>
      <w:numFmt w:val="bullet"/>
      <w:lvlText w:val=""/>
      <w:lvlJc w:val="left"/>
      <w:pPr>
        <w:ind w:left="3614" w:hanging="360"/>
      </w:pPr>
      <w:rPr>
        <w:rFonts w:ascii="Wingdings" w:hAnsi="Wingdings" w:hint="default"/>
      </w:rPr>
    </w:lvl>
    <w:lvl w:ilvl="3" w:tplc="04100001" w:tentative="1">
      <w:start w:val="1"/>
      <w:numFmt w:val="bullet"/>
      <w:lvlText w:val=""/>
      <w:lvlJc w:val="left"/>
      <w:pPr>
        <w:ind w:left="4334" w:hanging="360"/>
      </w:pPr>
      <w:rPr>
        <w:rFonts w:ascii="Symbol" w:hAnsi="Symbol" w:hint="default"/>
      </w:rPr>
    </w:lvl>
    <w:lvl w:ilvl="4" w:tplc="04100003" w:tentative="1">
      <w:start w:val="1"/>
      <w:numFmt w:val="bullet"/>
      <w:lvlText w:val="o"/>
      <w:lvlJc w:val="left"/>
      <w:pPr>
        <w:ind w:left="5054" w:hanging="360"/>
      </w:pPr>
      <w:rPr>
        <w:rFonts w:ascii="Courier New" w:hAnsi="Courier New" w:cs="Courier New" w:hint="default"/>
      </w:rPr>
    </w:lvl>
    <w:lvl w:ilvl="5" w:tplc="04100005" w:tentative="1">
      <w:start w:val="1"/>
      <w:numFmt w:val="bullet"/>
      <w:lvlText w:val=""/>
      <w:lvlJc w:val="left"/>
      <w:pPr>
        <w:ind w:left="5774" w:hanging="360"/>
      </w:pPr>
      <w:rPr>
        <w:rFonts w:ascii="Wingdings" w:hAnsi="Wingdings" w:hint="default"/>
      </w:rPr>
    </w:lvl>
    <w:lvl w:ilvl="6" w:tplc="04100001" w:tentative="1">
      <w:start w:val="1"/>
      <w:numFmt w:val="bullet"/>
      <w:lvlText w:val=""/>
      <w:lvlJc w:val="left"/>
      <w:pPr>
        <w:ind w:left="6494" w:hanging="360"/>
      </w:pPr>
      <w:rPr>
        <w:rFonts w:ascii="Symbol" w:hAnsi="Symbol" w:hint="default"/>
      </w:rPr>
    </w:lvl>
    <w:lvl w:ilvl="7" w:tplc="04100003" w:tentative="1">
      <w:start w:val="1"/>
      <w:numFmt w:val="bullet"/>
      <w:lvlText w:val="o"/>
      <w:lvlJc w:val="left"/>
      <w:pPr>
        <w:ind w:left="7214" w:hanging="360"/>
      </w:pPr>
      <w:rPr>
        <w:rFonts w:ascii="Courier New" w:hAnsi="Courier New" w:cs="Courier New" w:hint="default"/>
      </w:rPr>
    </w:lvl>
    <w:lvl w:ilvl="8" w:tplc="04100005" w:tentative="1">
      <w:start w:val="1"/>
      <w:numFmt w:val="bullet"/>
      <w:lvlText w:val=""/>
      <w:lvlJc w:val="left"/>
      <w:pPr>
        <w:ind w:left="7934" w:hanging="360"/>
      </w:pPr>
      <w:rPr>
        <w:rFonts w:ascii="Wingdings" w:hAnsi="Wingdings" w:hint="default"/>
      </w:rPr>
    </w:lvl>
  </w:abstractNum>
  <w:abstractNum w:abstractNumId="9" w15:restartNumberingAfterBreak="0">
    <w:nsid w:val="19173B2D"/>
    <w:multiLevelType w:val="hybridMultilevel"/>
    <w:tmpl w:val="7CFAE26E"/>
    <w:lvl w:ilvl="0" w:tplc="2E70CF18">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1C6D2AF6"/>
    <w:multiLevelType w:val="hybridMultilevel"/>
    <w:tmpl w:val="4984C9AE"/>
    <w:lvl w:ilvl="0" w:tplc="0394AFF8">
      <w:start w:val="3"/>
      <w:numFmt w:val="decimal"/>
      <w:lvlText w:val="%1."/>
      <w:lvlJc w:val="left"/>
      <w:pPr>
        <w:tabs>
          <w:tab w:val="num" w:pos="2174"/>
        </w:tabs>
        <w:ind w:left="2174" w:hanging="360"/>
      </w:pPr>
      <w:rPr>
        <w:rFonts w:hint="default"/>
      </w:rPr>
    </w:lvl>
    <w:lvl w:ilvl="1" w:tplc="04100019" w:tentative="1">
      <w:start w:val="1"/>
      <w:numFmt w:val="lowerLetter"/>
      <w:lvlText w:val="%2."/>
      <w:lvlJc w:val="left"/>
      <w:pPr>
        <w:tabs>
          <w:tab w:val="num" w:pos="2894"/>
        </w:tabs>
        <w:ind w:left="2894" w:hanging="360"/>
      </w:pPr>
    </w:lvl>
    <w:lvl w:ilvl="2" w:tplc="0410001B" w:tentative="1">
      <w:start w:val="1"/>
      <w:numFmt w:val="lowerRoman"/>
      <w:lvlText w:val="%3."/>
      <w:lvlJc w:val="right"/>
      <w:pPr>
        <w:tabs>
          <w:tab w:val="num" w:pos="3614"/>
        </w:tabs>
        <w:ind w:left="3614" w:hanging="180"/>
      </w:pPr>
    </w:lvl>
    <w:lvl w:ilvl="3" w:tplc="0410000F" w:tentative="1">
      <w:start w:val="1"/>
      <w:numFmt w:val="decimal"/>
      <w:lvlText w:val="%4."/>
      <w:lvlJc w:val="left"/>
      <w:pPr>
        <w:tabs>
          <w:tab w:val="num" w:pos="4334"/>
        </w:tabs>
        <w:ind w:left="4334" w:hanging="360"/>
      </w:pPr>
    </w:lvl>
    <w:lvl w:ilvl="4" w:tplc="04100019" w:tentative="1">
      <w:start w:val="1"/>
      <w:numFmt w:val="lowerLetter"/>
      <w:lvlText w:val="%5."/>
      <w:lvlJc w:val="left"/>
      <w:pPr>
        <w:tabs>
          <w:tab w:val="num" w:pos="5054"/>
        </w:tabs>
        <w:ind w:left="5054" w:hanging="360"/>
      </w:pPr>
    </w:lvl>
    <w:lvl w:ilvl="5" w:tplc="0410001B" w:tentative="1">
      <w:start w:val="1"/>
      <w:numFmt w:val="lowerRoman"/>
      <w:lvlText w:val="%6."/>
      <w:lvlJc w:val="right"/>
      <w:pPr>
        <w:tabs>
          <w:tab w:val="num" w:pos="5774"/>
        </w:tabs>
        <w:ind w:left="5774" w:hanging="180"/>
      </w:pPr>
    </w:lvl>
    <w:lvl w:ilvl="6" w:tplc="0410000F" w:tentative="1">
      <w:start w:val="1"/>
      <w:numFmt w:val="decimal"/>
      <w:lvlText w:val="%7."/>
      <w:lvlJc w:val="left"/>
      <w:pPr>
        <w:tabs>
          <w:tab w:val="num" w:pos="6494"/>
        </w:tabs>
        <w:ind w:left="6494" w:hanging="360"/>
      </w:pPr>
    </w:lvl>
    <w:lvl w:ilvl="7" w:tplc="04100019" w:tentative="1">
      <w:start w:val="1"/>
      <w:numFmt w:val="lowerLetter"/>
      <w:lvlText w:val="%8."/>
      <w:lvlJc w:val="left"/>
      <w:pPr>
        <w:tabs>
          <w:tab w:val="num" w:pos="7214"/>
        </w:tabs>
        <w:ind w:left="7214" w:hanging="360"/>
      </w:pPr>
    </w:lvl>
    <w:lvl w:ilvl="8" w:tplc="0410001B" w:tentative="1">
      <w:start w:val="1"/>
      <w:numFmt w:val="lowerRoman"/>
      <w:lvlText w:val="%9."/>
      <w:lvlJc w:val="right"/>
      <w:pPr>
        <w:tabs>
          <w:tab w:val="num" w:pos="7934"/>
        </w:tabs>
        <w:ind w:left="7934" w:hanging="180"/>
      </w:pPr>
    </w:lvl>
  </w:abstractNum>
  <w:abstractNum w:abstractNumId="11" w15:restartNumberingAfterBreak="0">
    <w:nsid w:val="1DEE68F7"/>
    <w:multiLevelType w:val="hybridMultilevel"/>
    <w:tmpl w:val="516ACE48"/>
    <w:lvl w:ilvl="0" w:tplc="3FD43CA8">
      <w:start w:val="1"/>
      <w:numFmt w:val="decimal"/>
      <w:lvlText w:val="%1."/>
      <w:lvlJc w:val="left"/>
      <w:pPr>
        <w:tabs>
          <w:tab w:val="num" w:pos="2174"/>
        </w:tabs>
        <w:ind w:left="2174" w:hanging="360"/>
      </w:pPr>
      <w:rPr>
        <w:rFonts w:hint="default"/>
      </w:rPr>
    </w:lvl>
    <w:lvl w:ilvl="1" w:tplc="04100019" w:tentative="1">
      <w:start w:val="1"/>
      <w:numFmt w:val="lowerLetter"/>
      <w:lvlText w:val="%2."/>
      <w:lvlJc w:val="left"/>
      <w:pPr>
        <w:tabs>
          <w:tab w:val="num" w:pos="2894"/>
        </w:tabs>
        <w:ind w:left="2894" w:hanging="360"/>
      </w:pPr>
    </w:lvl>
    <w:lvl w:ilvl="2" w:tplc="0410001B" w:tentative="1">
      <w:start w:val="1"/>
      <w:numFmt w:val="lowerRoman"/>
      <w:lvlText w:val="%3."/>
      <w:lvlJc w:val="right"/>
      <w:pPr>
        <w:tabs>
          <w:tab w:val="num" w:pos="3614"/>
        </w:tabs>
        <w:ind w:left="3614" w:hanging="180"/>
      </w:pPr>
    </w:lvl>
    <w:lvl w:ilvl="3" w:tplc="0410000F" w:tentative="1">
      <w:start w:val="1"/>
      <w:numFmt w:val="decimal"/>
      <w:lvlText w:val="%4."/>
      <w:lvlJc w:val="left"/>
      <w:pPr>
        <w:tabs>
          <w:tab w:val="num" w:pos="4334"/>
        </w:tabs>
        <w:ind w:left="4334" w:hanging="360"/>
      </w:pPr>
    </w:lvl>
    <w:lvl w:ilvl="4" w:tplc="04100019" w:tentative="1">
      <w:start w:val="1"/>
      <w:numFmt w:val="lowerLetter"/>
      <w:lvlText w:val="%5."/>
      <w:lvlJc w:val="left"/>
      <w:pPr>
        <w:tabs>
          <w:tab w:val="num" w:pos="5054"/>
        </w:tabs>
        <w:ind w:left="5054" w:hanging="360"/>
      </w:pPr>
    </w:lvl>
    <w:lvl w:ilvl="5" w:tplc="0410001B" w:tentative="1">
      <w:start w:val="1"/>
      <w:numFmt w:val="lowerRoman"/>
      <w:lvlText w:val="%6."/>
      <w:lvlJc w:val="right"/>
      <w:pPr>
        <w:tabs>
          <w:tab w:val="num" w:pos="5774"/>
        </w:tabs>
        <w:ind w:left="5774" w:hanging="180"/>
      </w:pPr>
    </w:lvl>
    <w:lvl w:ilvl="6" w:tplc="0410000F" w:tentative="1">
      <w:start w:val="1"/>
      <w:numFmt w:val="decimal"/>
      <w:lvlText w:val="%7."/>
      <w:lvlJc w:val="left"/>
      <w:pPr>
        <w:tabs>
          <w:tab w:val="num" w:pos="6494"/>
        </w:tabs>
        <w:ind w:left="6494" w:hanging="360"/>
      </w:pPr>
    </w:lvl>
    <w:lvl w:ilvl="7" w:tplc="04100019" w:tentative="1">
      <w:start w:val="1"/>
      <w:numFmt w:val="lowerLetter"/>
      <w:lvlText w:val="%8."/>
      <w:lvlJc w:val="left"/>
      <w:pPr>
        <w:tabs>
          <w:tab w:val="num" w:pos="7214"/>
        </w:tabs>
        <w:ind w:left="7214" w:hanging="360"/>
      </w:pPr>
    </w:lvl>
    <w:lvl w:ilvl="8" w:tplc="0410001B" w:tentative="1">
      <w:start w:val="1"/>
      <w:numFmt w:val="lowerRoman"/>
      <w:lvlText w:val="%9."/>
      <w:lvlJc w:val="right"/>
      <w:pPr>
        <w:tabs>
          <w:tab w:val="num" w:pos="7934"/>
        </w:tabs>
        <w:ind w:left="7934" w:hanging="180"/>
      </w:pPr>
    </w:lvl>
  </w:abstractNum>
  <w:abstractNum w:abstractNumId="12" w15:restartNumberingAfterBreak="0">
    <w:nsid w:val="23873253"/>
    <w:multiLevelType w:val="hybridMultilevel"/>
    <w:tmpl w:val="6D02477A"/>
    <w:lvl w:ilvl="0" w:tplc="527251D2">
      <w:start w:val="1"/>
      <w:numFmt w:val="lowerLetter"/>
      <w:lvlText w:val="(%1)"/>
      <w:lvlJc w:val="left"/>
      <w:pPr>
        <w:ind w:left="2203" w:hanging="360"/>
      </w:pPr>
      <w:rPr>
        <w:rFonts w:hint="default"/>
      </w:rPr>
    </w:lvl>
    <w:lvl w:ilvl="1" w:tplc="04100019" w:tentative="1">
      <w:start w:val="1"/>
      <w:numFmt w:val="lowerLetter"/>
      <w:lvlText w:val="%2."/>
      <w:lvlJc w:val="left"/>
      <w:pPr>
        <w:ind w:left="2923" w:hanging="360"/>
      </w:pPr>
    </w:lvl>
    <w:lvl w:ilvl="2" w:tplc="0410001B" w:tentative="1">
      <w:start w:val="1"/>
      <w:numFmt w:val="lowerRoman"/>
      <w:lvlText w:val="%3."/>
      <w:lvlJc w:val="right"/>
      <w:pPr>
        <w:ind w:left="3643" w:hanging="180"/>
      </w:pPr>
    </w:lvl>
    <w:lvl w:ilvl="3" w:tplc="0410000F" w:tentative="1">
      <w:start w:val="1"/>
      <w:numFmt w:val="decimal"/>
      <w:lvlText w:val="%4."/>
      <w:lvlJc w:val="left"/>
      <w:pPr>
        <w:ind w:left="4363" w:hanging="360"/>
      </w:pPr>
    </w:lvl>
    <w:lvl w:ilvl="4" w:tplc="04100019" w:tentative="1">
      <w:start w:val="1"/>
      <w:numFmt w:val="lowerLetter"/>
      <w:lvlText w:val="%5."/>
      <w:lvlJc w:val="left"/>
      <w:pPr>
        <w:ind w:left="5083" w:hanging="360"/>
      </w:pPr>
    </w:lvl>
    <w:lvl w:ilvl="5" w:tplc="0410001B" w:tentative="1">
      <w:start w:val="1"/>
      <w:numFmt w:val="lowerRoman"/>
      <w:lvlText w:val="%6."/>
      <w:lvlJc w:val="right"/>
      <w:pPr>
        <w:ind w:left="5803" w:hanging="180"/>
      </w:pPr>
    </w:lvl>
    <w:lvl w:ilvl="6" w:tplc="0410000F" w:tentative="1">
      <w:start w:val="1"/>
      <w:numFmt w:val="decimal"/>
      <w:lvlText w:val="%7."/>
      <w:lvlJc w:val="left"/>
      <w:pPr>
        <w:ind w:left="6523" w:hanging="360"/>
      </w:pPr>
    </w:lvl>
    <w:lvl w:ilvl="7" w:tplc="04100019" w:tentative="1">
      <w:start w:val="1"/>
      <w:numFmt w:val="lowerLetter"/>
      <w:lvlText w:val="%8."/>
      <w:lvlJc w:val="left"/>
      <w:pPr>
        <w:ind w:left="7243" w:hanging="360"/>
      </w:pPr>
    </w:lvl>
    <w:lvl w:ilvl="8" w:tplc="0410001B" w:tentative="1">
      <w:start w:val="1"/>
      <w:numFmt w:val="lowerRoman"/>
      <w:lvlText w:val="%9."/>
      <w:lvlJc w:val="right"/>
      <w:pPr>
        <w:ind w:left="7963" w:hanging="180"/>
      </w:pPr>
    </w:lvl>
  </w:abstractNum>
  <w:abstractNum w:abstractNumId="13" w15:restartNumberingAfterBreak="0">
    <w:nsid w:val="28FE60DB"/>
    <w:multiLevelType w:val="hybridMultilevel"/>
    <w:tmpl w:val="1C00896E"/>
    <w:lvl w:ilvl="0" w:tplc="3C8AD82E">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2BD13482"/>
    <w:multiLevelType w:val="hybridMultilevel"/>
    <w:tmpl w:val="53A2F89C"/>
    <w:lvl w:ilvl="0" w:tplc="63820CDA">
      <w:start w:val="3"/>
      <w:numFmt w:val="bullet"/>
      <w:lvlText w:val="-"/>
      <w:lvlJc w:val="left"/>
      <w:pPr>
        <w:ind w:left="2203" w:hanging="360"/>
      </w:pPr>
      <w:rPr>
        <w:rFonts w:ascii="Arial" w:eastAsia="Times New Roman" w:hAnsi="Arial" w:cs="Arial" w:hint="default"/>
      </w:rPr>
    </w:lvl>
    <w:lvl w:ilvl="1" w:tplc="04100003" w:tentative="1">
      <w:start w:val="1"/>
      <w:numFmt w:val="bullet"/>
      <w:lvlText w:val="o"/>
      <w:lvlJc w:val="left"/>
      <w:pPr>
        <w:ind w:left="2923" w:hanging="360"/>
      </w:pPr>
      <w:rPr>
        <w:rFonts w:ascii="Courier New" w:hAnsi="Courier New" w:cs="Courier New" w:hint="default"/>
      </w:rPr>
    </w:lvl>
    <w:lvl w:ilvl="2" w:tplc="04100005" w:tentative="1">
      <w:start w:val="1"/>
      <w:numFmt w:val="bullet"/>
      <w:lvlText w:val=""/>
      <w:lvlJc w:val="left"/>
      <w:pPr>
        <w:ind w:left="3643" w:hanging="360"/>
      </w:pPr>
      <w:rPr>
        <w:rFonts w:ascii="Wingdings" w:hAnsi="Wingdings" w:hint="default"/>
      </w:rPr>
    </w:lvl>
    <w:lvl w:ilvl="3" w:tplc="04100001" w:tentative="1">
      <w:start w:val="1"/>
      <w:numFmt w:val="bullet"/>
      <w:lvlText w:val=""/>
      <w:lvlJc w:val="left"/>
      <w:pPr>
        <w:ind w:left="4363" w:hanging="360"/>
      </w:pPr>
      <w:rPr>
        <w:rFonts w:ascii="Symbol" w:hAnsi="Symbol" w:hint="default"/>
      </w:rPr>
    </w:lvl>
    <w:lvl w:ilvl="4" w:tplc="04100003" w:tentative="1">
      <w:start w:val="1"/>
      <w:numFmt w:val="bullet"/>
      <w:lvlText w:val="o"/>
      <w:lvlJc w:val="left"/>
      <w:pPr>
        <w:ind w:left="5083" w:hanging="360"/>
      </w:pPr>
      <w:rPr>
        <w:rFonts w:ascii="Courier New" w:hAnsi="Courier New" w:cs="Courier New" w:hint="default"/>
      </w:rPr>
    </w:lvl>
    <w:lvl w:ilvl="5" w:tplc="04100005" w:tentative="1">
      <w:start w:val="1"/>
      <w:numFmt w:val="bullet"/>
      <w:lvlText w:val=""/>
      <w:lvlJc w:val="left"/>
      <w:pPr>
        <w:ind w:left="5803" w:hanging="360"/>
      </w:pPr>
      <w:rPr>
        <w:rFonts w:ascii="Wingdings" w:hAnsi="Wingdings" w:hint="default"/>
      </w:rPr>
    </w:lvl>
    <w:lvl w:ilvl="6" w:tplc="04100001" w:tentative="1">
      <w:start w:val="1"/>
      <w:numFmt w:val="bullet"/>
      <w:lvlText w:val=""/>
      <w:lvlJc w:val="left"/>
      <w:pPr>
        <w:ind w:left="6523" w:hanging="360"/>
      </w:pPr>
      <w:rPr>
        <w:rFonts w:ascii="Symbol" w:hAnsi="Symbol" w:hint="default"/>
      </w:rPr>
    </w:lvl>
    <w:lvl w:ilvl="7" w:tplc="04100003" w:tentative="1">
      <w:start w:val="1"/>
      <w:numFmt w:val="bullet"/>
      <w:lvlText w:val="o"/>
      <w:lvlJc w:val="left"/>
      <w:pPr>
        <w:ind w:left="7243" w:hanging="360"/>
      </w:pPr>
      <w:rPr>
        <w:rFonts w:ascii="Courier New" w:hAnsi="Courier New" w:cs="Courier New" w:hint="default"/>
      </w:rPr>
    </w:lvl>
    <w:lvl w:ilvl="8" w:tplc="04100005" w:tentative="1">
      <w:start w:val="1"/>
      <w:numFmt w:val="bullet"/>
      <w:lvlText w:val=""/>
      <w:lvlJc w:val="left"/>
      <w:pPr>
        <w:ind w:left="7963" w:hanging="360"/>
      </w:pPr>
      <w:rPr>
        <w:rFonts w:ascii="Wingdings" w:hAnsi="Wingdings" w:hint="default"/>
      </w:rPr>
    </w:lvl>
  </w:abstractNum>
  <w:abstractNum w:abstractNumId="15" w15:restartNumberingAfterBreak="0">
    <w:nsid w:val="2CBC71B3"/>
    <w:multiLevelType w:val="hybridMultilevel"/>
    <w:tmpl w:val="793A321A"/>
    <w:lvl w:ilvl="0" w:tplc="D22A3516">
      <w:start w:val="1"/>
      <w:numFmt w:val="bullet"/>
      <w:lvlText w:val="o"/>
      <w:lvlJc w:val="left"/>
      <w:pPr>
        <w:tabs>
          <w:tab w:val="num" w:pos="720"/>
        </w:tabs>
        <w:ind w:left="720" w:hanging="360"/>
      </w:pPr>
      <w:rPr>
        <w:rFonts w:ascii="Courier New" w:hAnsi="Courier New"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2E0A0474"/>
    <w:multiLevelType w:val="hybridMultilevel"/>
    <w:tmpl w:val="4B9E67C6"/>
    <w:lvl w:ilvl="0" w:tplc="F340A834">
      <w:start w:val="1"/>
      <w:numFmt w:val="lowerLetter"/>
      <w:lvlText w:val="(%1)"/>
      <w:lvlJc w:val="left"/>
      <w:pPr>
        <w:ind w:left="2203" w:hanging="360"/>
      </w:pPr>
      <w:rPr>
        <w:rFonts w:hint="default"/>
        <w:color w:val="auto"/>
        <w:sz w:val="14"/>
      </w:rPr>
    </w:lvl>
    <w:lvl w:ilvl="1" w:tplc="04100019" w:tentative="1">
      <w:start w:val="1"/>
      <w:numFmt w:val="lowerLetter"/>
      <w:lvlText w:val="%2."/>
      <w:lvlJc w:val="left"/>
      <w:pPr>
        <w:ind w:left="2923" w:hanging="360"/>
      </w:pPr>
    </w:lvl>
    <w:lvl w:ilvl="2" w:tplc="0410001B" w:tentative="1">
      <w:start w:val="1"/>
      <w:numFmt w:val="lowerRoman"/>
      <w:lvlText w:val="%3."/>
      <w:lvlJc w:val="right"/>
      <w:pPr>
        <w:ind w:left="3643" w:hanging="180"/>
      </w:pPr>
    </w:lvl>
    <w:lvl w:ilvl="3" w:tplc="0410000F" w:tentative="1">
      <w:start w:val="1"/>
      <w:numFmt w:val="decimal"/>
      <w:lvlText w:val="%4."/>
      <w:lvlJc w:val="left"/>
      <w:pPr>
        <w:ind w:left="4363" w:hanging="360"/>
      </w:pPr>
    </w:lvl>
    <w:lvl w:ilvl="4" w:tplc="04100019" w:tentative="1">
      <w:start w:val="1"/>
      <w:numFmt w:val="lowerLetter"/>
      <w:lvlText w:val="%5."/>
      <w:lvlJc w:val="left"/>
      <w:pPr>
        <w:ind w:left="5083" w:hanging="360"/>
      </w:pPr>
    </w:lvl>
    <w:lvl w:ilvl="5" w:tplc="0410001B" w:tentative="1">
      <w:start w:val="1"/>
      <w:numFmt w:val="lowerRoman"/>
      <w:lvlText w:val="%6."/>
      <w:lvlJc w:val="right"/>
      <w:pPr>
        <w:ind w:left="5803" w:hanging="180"/>
      </w:pPr>
    </w:lvl>
    <w:lvl w:ilvl="6" w:tplc="0410000F" w:tentative="1">
      <w:start w:val="1"/>
      <w:numFmt w:val="decimal"/>
      <w:lvlText w:val="%7."/>
      <w:lvlJc w:val="left"/>
      <w:pPr>
        <w:ind w:left="6523" w:hanging="360"/>
      </w:pPr>
    </w:lvl>
    <w:lvl w:ilvl="7" w:tplc="04100019" w:tentative="1">
      <w:start w:val="1"/>
      <w:numFmt w:val="lowerLetter"/>
      <w:lvlText w:val="%8."/>
      <w:lvlJc w:val="left"/>
      <w:pPr>
        <w:ind w:left="7243" w:hanging="360"/>
      </w:pPr>
    </w:lvl>
    <w:lvl w:ilvl="8" w:tplc="0410001B" w:tentative="1">
      <w:start w:val="1"/>
      <w:numFmt w:val="lowerRoman"/>
      <w:lvlText w:val="%9."/>
      <w:lvlJc w:val="right"/>
      <w:pPr>
        <w:ind w:left="7963" w:hanging="180"/>
      </w:pPr>
    </w:lvl>
  </w:abstractNum>
  <w:abstractNum w:abstractNumId="17" w15:restartNumberingAfterBreak="0">
    <w:nsid w:val="37F56425"/>
    <w:multiLevelType w:val="hybridMultilevel"/>
    <w:tmpl w:val="D3202A82"/>
    <w:lvl w:ilvl="0" w:tplc="C672B15E">
      <w:start w:val="1"/>
      <w:numFmt w:val="lowerLetter"/>
      <w:lvlText w:val="(%1)"/>
      <w:lvlJc w:val="left"/>
      <w:pPr>
        <w:ind w:left="720" w:hanging="360"/>
      </w:pPr>
      <w:rPr>
        <w:rFonts w:hint="default"/>
        <w:b w:val="0"/>
        <w:color w:val="000000"/>
        <w:sz w:val="15"/>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82344D4"/>
    <w:multiLevelType w:val="hybridMultilevel"/>
    <w:tmpl w:val="52587780"/>
    <w:lvl w:ilvl="0" w:tplc="04100001">
      <w:start w:val="1"/>
      <w:numFmt w:val="bullet"/>
      <w:lvlText w:val=""/>
      <w:lvlJc w:val="left"/>
      <w:pPr>
        <w:ind w:left="2563" w:hanging="360"/>
      </w:pPr>
      <w:rPr>
        <w:rFonts w:ascii="Symbol" w:hAnsi="Symbol" w:hint="default"/>
      </w:rPr>
    </w:lvl>
    <w:lvl w:ilvl="1" w:tplc="04100003" w:tentative="1">
      <w:start w:val="1"/>
      <w:numFmt w:val="bullet"/>
      <w:lvlText w:val="o"/>
      <w:lvlJc w:val="left"/>
      <w:pPr>
        <w:ind w:left="3283" w:hanging="360"/>
      </w:pPr>
      <w:rPr>
        <w:rFonts w:ascii="Courier New" w:hAnsi="Courier New" w:cs="Courier New" w:hint="default"/>
      </w:rPr>
    </w:lvl>
    <w:lvl w:ilvl="2" w:tplc="04100005" w:tentative="1">
      <w:start w:val="1"/>
      <w:numFmt w:val="bullet"/>
      <w:lvlText w:val=""/>
      <w:lvlJc w:val="left"/>
      <w:pPr>
        <w:ind w:left="4003" w:hanging="360"/>
      </w:pPr>
      <w:rPr>
        <w:rFonts w:ascii="Wingdings" w:hAnsi="Wingdings" w:hint="default"/>
      </w:rPr>
    </w:lvl>
    <w:lvl w:ilvl="3" w:tplc="04100001" w:tentative="1">
      <w:start w:val="1"/>
      <w:numFmt w:val="bullet"/>
      <w:lvlText w:val=""/>
      <w:lvlJc w:val="left"/>
      <w:pPr>
        <w:ind w:left="4723" w:hanging="360"/>
      </w:pPr>
      <w:rPr>
        <w:rFonts w:ascii="Symbol" w:hAnsi="Symbol" w:hint="default"/>
      </w:rPr>
    </w:lvl>
    <w:lvl w:ilvl="4" w:tplc="04100003" w:tentative="1">
      <w:start w:val="1"/>
      <w:numFmt w:val="bullet"/>
      <w:lvlText w:val="o"/>
      <w:lvlJc w:val="left"/>
      <w:pPr>
        <w:ind w:left="5443" w:hanging="360"/>
      </w:pPr>
      <w:rPr>
        <w:rFonts w:ascii="Courier New" w:hAnsi="Courier New" w:cs="Courier New" w:hint="default"/>
      </w:rPr>
    </w:lvl>
    <w:lvl w:ilvl="5" w:tplc="04100005" w:tentative="1">
      <w:start w:val="1"/>
      <w:numFmt w:val="bullet"/>
      <w:lvlText w:val=""/>
      <w:lvlJc w:val="left"/>
      <w:pPr>
        <w:ind w:left="6163" w:hanging="360"/>
      </w:pPr>
      <w:rPr>
        <w:rFonts w:ascii="Wingdings" w:hAnsi="Wingdings" w:hint="default"/>
      </w:rPr>
    </w:lvl>
    <w:lvl w:ilvl="6" w:tplc="04100001" w:tentative="1">
      <w:start w:val="1"/>
      <w:numFmt w:val="bullet"/>
      <w:lvlText w:val=""/>
      <w:lvlJc w:val="left"/>
      <w:pPr>
        <w:ind w:left="6883" w:hanging="360"/>
      </w:pPr>
      <w:rPr>
        <w:rFonts w:ascii="Symbol" w:hAnsi="Symbol" w:hint="default"/>
      </w:rPr>
    </w:lvl>
    <w:lvl w:ilvl="7" w:tplc="04100003" w:tentative="1">
      <w:start w:val="1"/>
      <w:numFmt w:val="bullet"/>
      <w:lvlText w:val="o"/>
      <w:lvlJc w:val="left"/>
      <w:pPr>
        <w:ind w:left="7603" w:hanging="360"/>
      </w:pPr>
      <w:rPr>
        <w:rFonts w:ascii="Courier New" w:hAnsi="Courier New" w:cs="Courier New" w:hint="default"/>
      </w:rPr>
    </w:lvl>
    <w:lvl w:ilvl="8" w:tplc="04100005" w:tentative="1">
      <w:start w:val="1"/>
      <w:numFmt w:val="bullet"/>
      <w:lvlText w:val=""/>
      <w:lvlJc w:val="left"/>
      <w:pPr>
        <w:ind w:left="8323" w:hanging="360"/>
      </w:pPr>
      <w:rPr>
        <w:rFonts w:ascii="Wingdings" w:hAnsi="Wingdings" w:hint="default"/>
      </w:rPr>
    </w:lvl>
  </w:abstractNum>
  <w:abstractNum w:abstractNumId="19" w15:restartNumberingAfterBreak="0">
    <w:nsid w:val="41EA7A1D"/>
    <w:multiLevelType w:val="hybridMultilevel"/>
    <w:tmpl w:val="A8CE5BBC"/>
    <w:lvl w:ilvl="0" w:tplc="0846C2D2">
      <w:start w:val="1"/>
      <w:numFmt w:val="lowerLetter"/>
      <w:lvlText w:val="(%1)"/>
      <w:lvlJc w:val="left"/>
      <w:pPr>
        <w:ind w:left="360" w:hanging="360"/>
      </w:pPr>
      <w:rPr>
        <w:rFonts w:ascii="Arial Narrow" w:hAnsi="Arial Narrow" w:cs="Times New Roman" w:hint="default"/>
        <w:sz w:val="15"/>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15:restartNumberingAfterBreak="0">
    <w:nsid w:val="42F45AD2"/>
    <w:multiLevelType w:val="hybridMultilevel"/>
    <w:tmpl w:val="15523E56"/>
    <w:lvl w:ilvl="0" w:tplc="ADAE5874">
      <w:start w:val="1"/>
      <w:numFmt w:val="bullet"/>
      <w:lvlText w:val="·"/>
      <w:lvlJc w:val="left"/>
      <w:pPr>
        <w:tabs>
          <w:tab w:val="num" w:pos="1440"/>
        </w:tabs>
        <w:ind w:left="1440" w:hanging="360"/>
      </w:pPr>
      <w:rPr>
        <w:rFonts w:ascii="Courier New" w:hAnsi="Courier New"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192CC4"/>
    <w:multiLevelType w:val="multilevel"/>
    <w:tmpl w:val="F7B0E23E"/>
    <w:styleLink w:val="Ann07Testoelencopuntato"/>
    <w:lvl w:ilvl="0">
      <w:start w:val="1"/>
      <w:numFmt w:val="bullet"/>
      <w:lvlText w:val=""/>
      <w:lvlJc w:val="left"/>
      <w:pPr>
        <w:tabs>
          <w:tab w:val="num" w:pos="794"/>
        </w:tabs>
        <w:ind w:left="794" w:hanging="397"/>
      </w:pPr>
      <w:rPr>
        <w:rFonts w:ascii="Symbol" w:hAnsi="Symbol" w:hint="default"/>
        <w:sz w:val="22"/>
        <w:szCs w:val="22"/>
      </w:rPr>
    </w:lvl>
    <w:lvl w:ilvl="1">
      <w:start w:val="1"/>
      <w:numFmt w:val="bullet"/>
      <w:lvlText w:val=""/>
      <w:lvlJc w:val="left"/>
      <w:pPr>
        <w:tabs>
          <w:tab w:val="num" w:pos="680"/>
        </w:tabs>
        <w:ind w:left="680" w:hanging="28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48761090"/>
    <w:multiLevelType w:val="hybridMultilevel"/>
    <w:tmpl w:val="46DA839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9BC7971"/>
    <w:multiLevelType w:val="hybridMultilevel"/>
    <w:tmpl w:val="A6EA0DF0"/>
    <w:lvl w:ilvl="0" w:tplc="F4F64488">
      <w:start w:val="1"/>
      <w:numFmt w:val="lowerLetter"/>
      <w:lvlText w:val="(%1)"/>
      <w:lvlJc w:val="left"/>
      <w:pPr>
        <w:ind w:left="0" w:hanging="360"/>
      </w:pPr>
      <w:rPr>
        <w:rFonts w:hint="default"/>
      </w:rPr>
    </w:lvl>
    <w:lvl w:ilvl="1" w:tplc="04100019" w:tentative="1">
      <w:start w:val="1"/>
      <w:numFmt w:val="lowerLetter"/>
      <w:lvlText w:val="%2."/>
      <w:lvlJc w:val="left"/>
      <w:pPr>
        <w:ind w:left="720" w:hanging="360"/>
      </w:pPr>
    </w:lvl>
    <w:lvl w:ilvl="2" w:tplc="0410001B" w:tentative="1">
      <w:start w:val="1"/>
      <w:numFmt w:val="lowerRoman"/>
      <w:lvlText w:val="%3."/>
      <w:lvlJc w:val="right"/>
      <w:pPr>
        <w:ind w:left="1440" w:hanging="180"/>
      </w:pPr>
    </w:lvl>
    <w:lvl w:ilvl="3" w:tplc="0410000F" w:tentative="1">
      <w:start w:val="1"/>
      <w:numFmt w:val="decimal"/>
      <w:lvlText w:val="%4."/>
      <w:lvlJc w:val="left"/>
      <w:pPr>
        <w:ind w:left="2160" w:hanging="360"/>
      </w:pPr>
    </w:lvl>
    <w:lvl w:ilvl="4" w:tplc="04100019" w:tentative="1">
      <w:start w:val="1"/>
      <w:numFmt w:val="lowerLetter"/>
      <w:lvlText w:val="%5."/>
      <w:lvlJc w:val="left"/>
      <w:pPr>
        <w:ind w:left="2880" w:hanging="360"/>
      </w:pPr>
    </w:lvl>
    <w:lvl w:ilvl="5" w:tplc="0410001B" w:tentative="1">
      <w:start w:val="1"/>
      <w:numFmt w:val="lowerRoman"/>
      <w:lvlText w:val="%6."/>
      <w:lvlJc w:val="right"/>
      <w:pPr>
        <w:ind w:left="3600" w:hanging="180"/>
      </w:pPr>
    </w:lvl>
    <w:lvl w:ilvl="6" w:tplc="0410000F" w:tentative="1">
      <w:start w:val="1"/>
      <w:numFmt w:val="decimal"/>
      <w:lvlText w:val="%7."/>
      <w:lvlJc w:val="left"/>
      <w:pPr>
        <w:ind w:left="4320" w:hanging="360"/>
      </w:pPr>
    </w:lvl>
    <w:lvl w:ilvl="7" w:tplc="04100019" w:tentative="1">
      <w:start w:val="1"/>
      <w:numFmt w:val="lowerLetter"/>
      <w:lvlText w:val="%8."/>
      <w:lvlJc w:val="left"/>
      <w:pPr>
        <w:ind w:left="5040" w:hanging="360"/>
      </w:pPr>
    </w:lvl>
    <w:lvl w:ilvl="8" w:tplc="0410001B" w:tentative="1">
      <w:start w:val="1"/>
      <w:numFmt w:val="lowerRoman"/>
      <w:lvlText w:val="%9."/>
      <w:lvlJc w:val="right"/>
      <w:pPr>
        <w:ind w:left="5760" w:hanging="180"/>
      </w:pPr>
    </w:lvl>
  </w:abstractNum>
  <w:abstractNum w:abstractNumId="24" w15:restartNumberingAfterBreak="0">
    <w:nsid w:val="4C940940"/>
    <w:multiLevelType w:val="hybridMultilevel"/>
    <w:tmpl w:val="190AF2F4"/>
    <w:lvl w:ilvl="0" w:tplc="4CF85CD6">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5" w15:restartNumberingAfterBreak="0">
    <w:nsid w:val="4D0E6923"/>
    <w:multiLevelType w:val="hybridMultilevel"/>
    <w:tmpl w:val="8E92D7F2"/>
    <w:lvl w:ilvl="0" w:tplc="99B41DA4">
      <w:start w:val="1"/>
      <w:numFmt w:val="lowerLetter"/>
      <w:lvlText w:val="(%1)"/>
      <w:lvlJc w:val="left"/>
      <w:pPr>
        <w:ind w:left="365" w:hanging="360"/>
      </w:pPr>
      <w:rPr>
        <w:rFonts w:hint="default"/>
      </w:rPr>
    </w:lvl>
    <w:lvl w:ilvl="1" w:tplc="04100019" w:tentative="1">
      <w:start w:val="1"/>
      <w:numFmt w:val="lowerLetter"/>
      <w:lvlText w:val="%2."/>
      <w:lvlJc w:val="left"/>
      <w:pPr>
        <w:ind w:left="1085" w:hanging="360"/>
      </w:pPr>
    </w:lvl>
    <w:lvl w:ilvl="2" w:tplc="0410001B" w:tentative="1">
      <w:start w:val="1"/>
      <w:numFmt w:val="lowerRoman"/>
      <w:lvlText w:val="%3."/>
      <w:lvlJc w:val="right"/>
      <w:pPr>
        <w:ind w:left="1805" w:hanging="180"/>
      </w:pPr>
    </w:lvl>
    <w:lvl w:ilvl="3" w:tplc="0410000F" w:tentative="1">
      <w:start w:val="1"/>
      <w:numFmt w:val="decimal"/>
      <w:lvlText w:val="%4."/>
      <w:lvlJc w:val="left"/>
      <w:pPr>
        <w:ind w:left="2525" w:hanging="360"/>
      </w:pPr>
    </w:lvl>
    <w:lvl w:ilvl="4" w:tplc="04100019" w:tentative="1">
      <w:start w:val="1"/>
      <w:numFmt w:val="lowerLetter"/>
      <w:lvlText w:val="%5."/>
      <w:lvlJc w:val="left"/>
      <w:pPr>
        <w:ind w:left="3245" w:hanging="360"/>
      </w:pPr>
    </w:lvl>
    <w:lvl w:ilvl="5" w:tplc="0410001B" w:tentative="1">
      <w:start w:val="1"/>
      <w:numFmt w:val="lowerRoman"/>
      <w:lvlText w:val="%6."/>
      <w:lvlJc w:val="right"/>
      <w:pPr>
        <w:ind w:left="3965" w:hanging="180"/>
      </w:pPr>
    </w:lvl>
    <w:lvl w:ilvl="6" w:tplc="0410000F" w:tentative="1">
      <w:start w:val="1"/>
      <w:numFmt w:val="decimal"/>
      <w:lvlText w:val="%7."/>
      <w:lvlJc w:val="left"/>
      <w:pPr>
        <w:ind w:left="4685" w:hanging="360"/>
      </w:pPr>
    </w:lvl>
    <w:lvl w:ilvl="7" w:tplc="04100019" w:tentative="1">
      <w:start w:val="1"/>
      <w:numFmt w:val="lowerLetter"/>
      <w:lvlText w:val="%8."/>
      <w:lvlJc w:val="left"/>
      <w:pPr>
        <w:ind w:left="5405" w:hanging="360"/>
      </w:pPr>
    </w:lvl>
    <w:lvl w:ilvl="8" w:tplc="0410001B" w:tentative="1">
      <w:start w:val="1"/>
      <w:numFmt w:val="lowerRoman"/>
      <w:lvlText w:val="%9."/>
      <w:lvlJc w:val="right"/>
      <w:pPr>
        <w:ind w:left="6125" w:hanging="180"/>
      </w:pPr>
    </w:lvl>
  </w:abstractNum>
  <w:abstractNum w:abstractNumId="26" w15:restartNumberingAfterBreak="0">
    <w:nsid w:val="535705DB"/>
    <w:multiLevelType w:val="hybridMultilevel"/>
    <w:tmpl w:val="487C1C20"/>
    <w:lvl w:ilvl="0" w:tplc="1F520ADE">
      <w:start w:val="1"/>
      <w:numFmt w:val="lowerLetter"/>
      <w:lvlText w:val="(%1)"/>
      <w:lvlJc w:val="left"/>
      <w:pPr>
        <w:ind w:left="215" w:hanging="360"/>
      </w:pPr>
      <w:rPr>
        <w:rFonts w:hint="default"/>
      </w:rPr>
    </w:lvl>
    <w:lvl w:ilvl="1" w:tplc="04100019" w:tentative="1">
      <w:start w:val="1"/>
      <w:numFmt w:val="lowerLetter"/>
      <w:lvlText w:val="%2."/>
      <w:lvlJc w:val="left"/>
      <w:pPr>
        <w:ind w:left="935" w:hanging="360"/>
      </w:pPr>
    </w:lvl>
    <w:lvl w:ilvl="2" w:tplc="0410001B" w:tentative="1">
      <w:start w:val="1"/>
      <w:numFmt w:val="lowerRoman"/>
      <w:lvlText w:val="%3."/>
      <w:lvlJc w:val="right"/>
      <w:pPr>
        <w:ind w:left="1655" w:hanging="180"/>
      </w:pPr>
    </w:lvl>
    <w:lvl w:ilvl="3" w:tplc="0410000F" w:tentative="1">
      <w:start w:val="1"/>
      <w:numFmt w:val="decimal"/>
      <w:lvlText w:val="%4."/>
      <w:lvlJc w:val="left"/>
      <w:pPr>
        <w:ind w:left="2375" w:hanging="360"/>
      </w:pPr>
    </w:lvl>
    <w:lvl w:ilvl="4" w:tplc="04100019" w:tentative="1">
      <w:start w:val="1"/>
      <w:numFmt w:val="lowerLetter"/>
      <w:lvlText w:val="%5."/>
      <w:lvlJc w:val="left"/>
      <w:pPr>
        <w:ind w:left="3095" w:hanging="360"/>
      </w:pPr>
    </w:lvl>
    <w:lvl w:ilvl="5" w:tplc="0410001B" w:tentative="1">
      <w:start w:val="1"/>
      <w:numFmt w:val="lowerRoman"/>
      <w:lvlText w:val="%6."/>
      <w:lvlJc w:val="right"/>
      <w:pPr>
        <w:ind w:left="3815" w:hanging="180"/>
      </w:pPr>
    </w:lvl>
    <w:lvl w:ilvl="6" w:tplc="0410000F" w:tentative="1">
      <w:start w:val="1"/>
      <w:numFmt w:val="decimal"/>
      <w:lvlText w:val="%7."/>
      <w:lvlJc w:val="left"/>
      <w:pPr>
        <w:ind w:left="4535" w:hanging="360"/>
      </w:pPr>
    </w:lvl>
    <w:lvl w:ilvl="7" w:tplc="04100019" w:tentative="1">
      <w:start w:val="1"/>
      <w:numFmt w:val="lowerLetter"/>
      <w:lvlText w:val="%8."/>
      <w:lvlJc w:val="left"/>
      <w:pPr>
        <w:ind w:left="5255" w:hanging="360"/>
      </w:pPr>
    </w:lvl>
    <w:lvl w:ilvl="8" w:tplc="0410001B" w:tentative="1">
      <w:start w:val="1"/>
      <w:numFmt w:val="lowerRoman"/>
      <w:lvlText w:val="%9."/>
      <w:lvlJc w:val="right"/>
      <w:pPr>
        <w:ind w:left="5975" w:hanging="180"/>
      </w:pPr>
    </w:lvl>
  </w:abstractNum>
  <w:abstractNum w:abstractNumId="27" w15:restartNumberingAfterBreak="0">
    <w:nsid w:val="53D2615D"/>
    <w:multiLevelType w:val="multilevel"/>
    <w:tmpl w:val="015A15DE"/>
    <w:styleLink w:val="Ann05Testoelenconumerico"/>
    <w:lvl w:ilvl="0">
      <w:start w:val="1"/>
      <w:numFmt w:val="decimal"/>
      <w:lvlText w:val="%1)"/>
      <w:lvlJc w:val="left"/>
      <w:pPr>
        <w:tabs>
          <w:tab w:val="num" w:pos="794"/>
        </w:tabs>
        <w:ind w:left="794" w:hanging="397"/>
      </w:pPr>
      <w:rPr>
        <w:rFonts w:hint="default"/>
      </w:rPr>
    </w:lvl>
    <w:lvl w:ilvl="1">
      <w:start w:val="1"/>
      <w:numFmt w:val="decimal"/>
      <w:lvlText w:val="%2)"/>
      <w:lvlJc w:val="left"/>
      <w:pPr>
        <w:tabs>
          <w:tab w:val="num" w:pos="964"/>
        </w:tabs>
        <w:ind w:left="964" w:hanging="284"/>
      </w:pPr>
      <w:rPr>
        <w:rFonts w:ascii="Times New Roman" w:hAnsi="Times New Roman" w:hint="default"/>
        <w:b w:val="0"/>
        <w:i w:val="0"/>
        <w:sz w:val="22"/>
        <w:szCs w:val="22"/>
      </w:rPr>
    </w:lvl>
    <w:lvl w:ilvl="2">
      <w:start w:val="1"/>
      <w:numFmt w:val="decimal"/>
      <w:lvlText w:val="%3)"/>
      <w:lvlJc w:val="left"/>
      <w:pPr>
        <w:tabs>
          <w:tab w:val="num" w:pos="964"/>
        </w:tabs>
        <w:ind w:left="964" w:hanging="284"/>
      </w:pPr>
      <w:rPr>
        <w:rFonts w:hint="default"/>
      </w:rPr>
    </w:lvl>
    <w:lvl w:ilvl="3">
      <w:start w:val="1"/>
      <w:numFmt w:val="decimal"/>
      <w:lvlText w:val="%4)"/>
      <w:lvlJc w:val="left"/>
      <w:pPr>
        <w:tabs>
          <w:tab w:val="num" w:pos="964"/>
        </w:tabs>
        <w:ind w:left="964" w:hanging="284"/>
      </w:pPr>
      <w:rPr>
        <w:rFonts w:ascii="Times New Roman" w:hAnsi="Times New Roman" w:hint="default"/>
        <w:b w:val="0"/>
        <w:i w:val="0"/>
        <w:sz w:val="22"/>
        <w:szCs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429649E"/>
    <w:multiLevelType w:val="hybridMultilevel"/>
    <w:tmpl w:val="ABA8FCF0"/>
    <w:lvl w:ilvl="0" w:tplc="484E45D0">
      <w:start w:val="1"/>
      <w:numFmt w:val="lowerLetter"/>
      <w:lvlText w:val="(%1)"/>
      <w:lvlJc w:val="left"/>
      <w:pPr>
        <w:ind w:left="360" w:hanging="360"/>
      </w:pPr>
      <w:rPr>
        <w:rFonts w:cs="Times New Roman" w:hint="default"/>
        <w:sz w:val="15"/>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15:restartNumberingAfterBreak="0">
    <w:nsid w:val="57813496"/>
    <w:multiLevelType w:val="hybridMultilevel"/>
    <w:tmpl w:val="0C4C1030"/>
    <w:lvl w:ilvl="0" w:tplc="5D0CFE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D3C06BD"/>
    <w:multiLevelType w:val="hybridMultilevel"/>
    <w:tmpl w:val="99C477F4"/>
    <w:lvl w:ilvl="0" w:tplc="FE48C1CE">
      <w:start w:val="1"/>
      <w:numFmt w:val="lowerLetter"/>
      <w:lvlText w:val="(%1)"/>
      <w:lvlJc w:val="left"/>
      <w:pPr>
        <w:ind w:left="2345" w:hanging="360"/>
      </w:pPr>
      <w:rPr>
        <w:rFonts w:hint="default"/>
      </w:rPr>
    </w:lvl>
    <w:lvl w:ilvl="1" w:tplc="04100019" w:tentative="1">
      <w:start w:val="1"/>
      <w:numFmt w:val="lowerLetter"/>
      <w:lvlText w:val="%2."/>
      <w:lvlJc w:val="left"/>
      <w:pPr>
        <w:ind w:left="3065" w:hanging="360"/>
      </w:pPr>
    </w:lvl>
    <w:lvl w:ilvl="2" w:tplc="0410001B" w:tentative="1">
      <w:start w:val="1"/>
      <w:numFmt w:val="lowerRoman"/>
      <w:lvlText w:val="%3."/>
      <w:lvlJc w:val="right"/>
      <w:pPr>
        <w:ind w:left="3785" w:hanging="180"/>
      </w:pPr>
    </w:lvl>
    <w:lvl w:ilvl="3" w:tplc="0410000F" w:tentative="1">
      <w:start w:val="1"/>
      <w:numFmt w:val="decimal"/>
      <w:lvlText w:val="%4."/>
      <w:lvlJc w:val="left"/>
      <w:pPr>
        <w:ind w:left="4505" w:hanging="360"/>
      </w:pPr>
    </w:lvl>
    <w:lvl w:ilvl="4" w:tplc="04100019" w:tentative="1">
      <w:start w:val="1"/>
      <w:numFmt w:val="lowerLetter"/>
      <w:lvlText w:val="%5."/>
      <w:lvlJc w:val="left"/>
      <w:pPr>
        <w:ind w:left="5225" w:hanging="360"/>
      </w:pPr>
    </w:lvl>
    <w:lvl w:ilvl="5" w:tplc="0410001B" w:tentative="1">
      <w:start w:val="1"/>
      <w:numFmt w:val="lowerRoman"/>
      <w:lvlText w:val="%6."/>
      <w:lvlJc w:val="right"/>
      <w:pPr>
        <w:ind w:left="5945" w:hanging="180"/>
      </w:pPr>
    </w:lvl>
    <w:lvl w:ilvl="6" w:tplc="0410000F" w:tentative="1">
      <w:start w:val="1"/>
      <w:numFmt w:val="decimal"/>
      <w:lvlText w:val="%7."/>
      <w:lvlJc w:val="left"/>
      <w:pPr>
        <w:ind w:left="6665" w:hanging="360"/>
      </w:pPr>
    </w:lvl>
    <w:lvl w:ilvl="7" w:tplc="04100019" w:tentative="1">
      <w:start w:val="1"/>
      <w:numFmt w:val="lowerLetter"/>
      <w:lvlText w:val="%8."/>
      <w:lvlJc w:val="left"/>
      <w:pPr>
        <w:ind w:left="7385" w:hanging="360"/>
      </w:pPr>
    </w:lvl>
    <w:lvl w:ilvl="8" w:tplc="0410001B" w:tentative="1">
      <w:start w:val="1"/>
      <w:numFmt w:val="lowerRoman"/>
      <w:lvlText w:val="%9."/>
      <w:lvlJc w:val="right"/>
      <w:pPr>
        <w:ind w:left="8105" w:hanging="180"/>
      </w:pPr>
    </w:lvl>
  </w:abstractNum>
  <w:abstractNum w:abstractNumId="31" w15:restartNumberingAfterBreak="0">
    <w:nsid w:val="625F3482"/>
    <w:multiLevelType w:val="singleLevel"/>
    <w:tmpl w:val="D11235BC"/>
    <w:lvl w:ilvl="0">
      <w:start w:val="1"/>
      <w:numFmt w:val="bullet"/>
      <w:lvlText w:val=""/>
      <w:lvlJc w:val="left"/>
      <w:pPr>
        <w:tabs>
          <w:tab w:val="num" w:pos="757"/>
        </w:tabs>
        <w:ind w:left="737" w:hanging="340"/>
      </w:pPr>
      <w:rPr>
        <w:rFonts w:ascii="Symbol" w:hAnsi="Symbol" w:hint="default"/>
      </w:rPr>
    </w:lvl>
  </w:abstractNum>
  <w:abstractNum w:abstractNumId="32" w15:restartNumberingAfterBreak="0">
    <w:nsid w:val="633C41BC"/>
    <w:multiLevelType w:val="hybridMultilevel"/>
    <w:tmpl w:val="C84E1138"/>
    <w:lvl w:ilvl="0" w:tplc="04100003">
      <w:start w:val="1"/>
      <w:numFmt w:val="bullet"/>
      <w:lvlText w:val="o"/>
      <w:lvlJc w:val="left"/>
      <w:pPr>
        <w:ind w:left="2204" w:hanging="360"/>
      </w:pPr>
      <w:rPr>
        <w:rFonts w:ascii="Courier New" w:hAnsi="Courier New" w:cs="Courier New" w:hint="default"/>
      </w:rPr>
    </w:lvl>
    <w:lvl w:ilvl="1" w:tplc="04100003" w:tentative="1">
      <w:start w:val="1"/>
      <w:numFmt w:val="bullet"/>
      <w:lvlText w:val="o"/>
      <w:lvlJc w:val="left"/>
      <w:pPr>
        <w:ind w:left="2924" w:hanging="360"/>
      </w:pPr>
      <w:rPr>
        <w:rFonts w:ascii="Courier New" w:hAnsi="Courier New" w:cs="Courier New" w:hint="default"/>
      </w:rPr>
    </w:lvl>
    <w:lvl w:ilvl="2" w:tplc="04100005" w:tentative="1">
      <w:start w:val="1"/>
      <w:numFmt w:val="bullet"/>
      <w:lvlText w:val=""/>
      <w:lvlJc w:val="left"/>
      <w:pPr>
        <w:ind w:left="3644" w:hanging="360"/>
      </w:pPr>
      <w:rPr>
        <w:rFonts w:ascii="Wingdings" w:hAnsi="Wingdings" w:hint="default"/>
      </w:rPr>
    </w:lvl>
    <w:lvl w:ilvl="3" w:tplc="04100001" w:tentative="1">
      <w:start w:val="1"/>
      <w:numFmt w:val="bullet"/>
      <w:lvlText w:val=""/>
      <w:lvlJc w:val="left"/>
      <w:pPr>
        <w:ind w:left="4364" w:hanging="360"/>
      </w:pPr>
      <w:rPr>
        <w:rFonts w:ascii="Symbol" w:hAnsi="Symbol" w:hint="default"/>
      </w:rPr>
    </w:lvl>
    <w:lvl w:ilvl="4" w:tplc="04100003" w:tentative="1">
      <w:start w:val="1"/>
      <w:numFmt w:val="bullet"/>
      <w:lvlText w:val="o"/>
      <w:lvlJc w:val="left"/>
      <w:pPr>
        <w:ind w:left="5084" w:hanging="360"/>
      </w:pPr>
      <w:rPr>
        <w:rFonts w:ascii="Courier New" w:hAnsi="Courier New" w:cs="Courier New" w:hint="default"/>
      </w:rPr>
    </w:lvl>
    <w:lvl w:ilvl="5" w:tplc="04100005" w:tentative="1">
      <w:start w:val="1"/>
      <w:numFmt w:val="bullet"/>
      <w:lvlText w:val=""/>
      <w:lvlJc w:val="left"/>
      <w:pPr>
        <w:ind w:left="5804" w:hanging="360"/>
      </w:pPr>
      <w:rPr>
        <w:rFonts w:ascii="Wingdings" w:hAnsi="Wingdings" w:hint="default"/>
      </w:rPr>
    </w:lvl>
    <w:lvl w:ilvl="6" w:tplc="04100001" w:tentative="1">
      <w:start w:val="1"/>
      <w:numFmt w:val="bullet"/>
      <w:lvlText w:val=""/>
      <w:lvlJc w:val="left"/>
      <w:pPr>
        <w:ind w:left="6524" w:hanging="360"/>
      </w:pPr>
      <w:rPr>
        <w:rFonts w:ascii="Symbol" w:hAnsi="Symbol" w:hint="default"/>
      </w:rPr>
    </w:lvl>
    <w:lvl w:ilvl="7" w:tplc="04100003" w:tentative="1">
      <w:start w:val="1"/>
      <w:numFmt w:val="bullet"/>
      <w:lvlText w:val="o"/>
      <w:lvlJc w:val="left"/>
      <w:pPr>
        <w:ind w:left="7244" w:hanging="360"/>
      </w:pPr>
      <w:rPr>
        <w:rFonts w:ascii="Courier New" w:hAnsi="Courier New" w:cs="Courier New" w:hint="default"/>
      </w:rPr>
    </w:lvl>
    <w:lvl w:ilvl="8" w:tplc="04100005" w:tentative="1">
      <w:start w:val="1"/>
      <w:numFmt w:val="bullet"/>
      <w:lvlText w:val=""/>
      <w:lvlJc w:val="left"/>
      <w:pPr>
        <w:ind w:left="7964" w:hanging="360"/>
      </w:pPr>
      <w:rPr>
        <w:rFonts w:ascii="Wingdings" w:hAnsi="Wingdings" w:hint="default"/>
      </w:rPr>
    </w:lvl>
  </w:abstractNum>
  <w:abstractNum w:abstractNumId="33" w15:restartNumberingAfterBreak="0">
    <w:nsid w:val="66F80855"/>
    <w:multiLevelType w:val="multilevel"/>
    <w:tmpl w:val="2CE26776"/>
    <w:styleLink w:val="Ann06Testoelencoalfabetico"/>
    <w:lvl w:ilvl="0">
      <w:start w:val="1"/>
      <w:numFmt w:val="lowerLetter"/>
      <w:lvlText w:val="%1)"/>
      <w:lvlJc w:val="left"/>
      <w:pPr>
        <w:tabs>
          <w:tab w:val="num" w:pos="794"/>
        </w:tabs>
        <w:ind w:left="794" w:hanging="397"/>
      </w:pPr>
      <w:rPr>
        <w:rFonts w:ascii="Times New Roman" w:hAnsi="Times New Roman" w:hint="default"/>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6E5200B9"/>
    <w:multiLevelType w:val="hybridMultilevel"/>
    <w:tmpl w:val="09766404"/>
    <w:lvl w:ilvl="0" w:tplc="F4CCD724">
      <w:start w:val="1"/>
      <w:numFmt w:val="lowerLetter"/>
      <w:lvlText w:val="(%1)"/>
      <w:lvlJc w:val="left"/>
      <w:pPr>
        <w:ind w:left="360" w:hanging="360"/>
      </w:pPr>
      <w:rPr>
        <w:rFonts w:hint="default"/>
        <w:color w:val="000000"/>
        <w:sz w:val="15"/>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5" w15:restartNumberingAfterBreak="0">
    <w:nsid w:val="794F2884"/>
    <w:multiLevelType w:val="hybridMultilevel"/>
    <w:tmpl w:val="B6B6154C"/>
    <w:lvl w:ilvl="0" w:tplc="E22435B4">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6" w15:restartNumberingAfterBreak="0">
    <w:nsid w:val="7DDA6FE3"/>
    <w:multiLevelType w:val="hybridMultilevel"/>
    <w:tmpl w:val="6C767D18"/>
    <w:lvl w:ilvl="0" w:tplc="7852630E">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11"/>
  </w:num>
  <w:num w:numId="2">
    <w:abstractNumId w:val="2"/>
  </w:num>
  <w:num w:numId="3">
    <w:abstractNumId w:val="10"/>
  </w:num>
  <w:num w:numId="4">
    <w:abstractNumId w:val="20"/>
  </w:num>
  <w:num w:numId="5">
    <w:abstractNumId w:val="5"/>
  </w:num>
  <w:num w:numId="6">
    <w:abstractNumId w:val="15"/>
  </w:num>
  <w:num w:numId="7">
    <w:abstractNumId w:val="32"/>
  </w:num>
  <w:num w:numId="8">
    <w:abstractNumId w:val="8"/>
  </w:num>
  <w:num w:numId="9">
    <w:abstractNumId w:val="27"/>
  </w:num>
  <w:num w:numId="10">
    <w:abstractNumId w:val="33"/>
  </w:num>
  <w:num w:numId="11">
    <w:abstractNumId w:val="21"/>
  </w:num>
  <w:num w:numId="12">
    <w:abstractNumId w:val="0"/>
  </w:num>
  <w:num w:numId="13">
    <w:abstractNumId w:val="4"/>
  </w:num>
  <w:num w:numId="14">
    <w:abstractNumId w:val="35"/>
  </w:num>
  <w:num w:numId="15">
    <w:abstractNumId w:val="9"/>
  </w:num>
  <w:num w:numId="16">
    <w:abstractNumId w:val="13"/>
  </w:num>
  <w:num w:numId="17">
    <w:abstractNumId w:val="36"/>
  </w:num>
  <w:num w:numId="18">
    <w:abstractNumId w:val="34"/>
  </w:num>
  <w:num w:numId="19">
    <w:abstractNumId w:val="23"/>
  </w:num>
  <w:num w:numId="20">
    <w:abstractNumId w:val="28"/>
  </w:num>
  <w:num w:numId="21">
    <w:abstractNumId w:val="19"/>
  </w:num>
  <w:num w:numId="22">
    <w:abstractNumId w:val="7"/>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24"/>
  </w:num>
  <w:num w:numId="32">
    <w:abstractNumId w:val="22"/>
  </w:num>
  <w:num w:numId="33">
    <w:abstractNumId w:val="30"/>
  </w:num>
  <w:num w:numId="34">
    <w:abstractNumId w:val="26"/>
  </w:num>
  <w:num w:numId="35">
    <w:abstractNumId w:val="25"/>
  </w:num>
  <w:num w:numId="36">
    <w:abstractNumId w:val="17"/>
  </w:num>
  <w:num w:numId="37">
    <w:abstractNumId w:val="16"/>
  </w:num>
  <w:num w:numId="38">
    <w:abstractNumId w:val="18"/>
  </w:num>
  <w:num w:numId="39">
    <w:abstractNumId w:val="6"/>
  </w:num>
  <w:num w:numId="40">
    <w:abstractNumId w:val="1"/>
  </w:num>
  <w:num w:numId="41">
    <w:abstractNumId w:val="31"/>
  </w:num>
  <w:num w:numId="42">
    <w:abstractNumId w:val="14"/>
  </w:num>
  <w:num w:numId="43">
    <w:abstractNumId w:val="12"/>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969"/>
    <w:rsid w:val="000003C9"/>
    <w:rsid w:val="0000116C"/>
    <w:rsid w:val="000011C5"/>
    <w:rsid w:val="00002435"/>
    <w:rsid w:val="00002614"/>
    <w:rsid w:val="00002D5F"/>
    <w:rsid w:val="000030F5"/>
    <w:rsid w:val="0000326A"/>
    <w:rsid w:val="000037F1"/>
    <w:rsid w:val="000051F4"/>
    <w:rsid w:val="00005F85"/>
    <w:rsid w:val="00006524"/>
    <w:rsid w:val="0000755C"/>
    <w:rsid w:val="00007B66"/>
    <w:rsid w:val="00011552"/>
    <w:rsid w:val="00011848"/>
    <w:rsid w:val="00011A95"/>
    <w:rsid w:val="00011C81"/>
    <w:rsid w:val="000125E3"/>
    <w:rsid w:val="000126EC"/>
    <w:rsid w:val="00012895"/>
    <w:rsid w:val="00012DB8"/>
    <w:rsid w:val="00013E73"/>
    <w:rsid w:val="0001411E"/>
    <w:rsid w:val="00015250"/>
    <w:rsid w:val="00015C82"/>
    <w:rsid w:val="0001704F"/>
    <w:rsid w:val="00017D4B"/>
    <w:rsid w:val="00017E8D"/>
    <w:rsid w:val="00017FA8"/>
    <w:rsid w:val="00020238"/>
    <w:rsid w:val="00020C53"/>
    <w:rsid w:val="00020E92"/>
    <w:rsid w:val="00021346"/>
    <w:rsid w:val="0002160C"/>
    <w:rsid w:val="000221F6"/>
    <w:rsid w:val="00023302"/>
    <w:rsid w:val="00023484"/>
    <w:rsid w:val="000234B7"/>
    <w:rsid w:val="000239E2"/>
    <w:rsid w:val="000264A7"/>
    <w:rsid w:val="0002743D"/>
    <w:rsid w:val="000301D4"/>
    <w:rsid w:val="000309E0"/>
    <w:rsid w:val="0003164A"/>
    <w:rsid w:val="00031A25"/>
    <w:rsid w:val="00031B49"/>
    <w:rsid w:val="0003345A"/>
    <w:rsid w:val="000342C8"/>
    <w:rsid w:val="000368AB"/>
    <w:rsid w:val="000379F3"/>
    <w:rsid w:val="00040651"/>
    <w:rsid w:val="00040DD7"/>
    <w:rsid w:val="00040EC1"/>
    <w:rsid w:val="000413C6"/>
    <w:rsid w:val="00041692"/>
    <w:rsid w:val="00041D14"/>
    <w:rsid w:val="00041E61"/>
    <w:rsid w:val="00042264"/>
    <w:rsid w:val="00042480"/>
    <w:rsid w:val="00044DFC"/>
    <w:rsid w:val="00046858"/>
    <w:rsid w:val="0004732F"/>
    <w:rsid w:val="0004773E"/>
    <w:rsid w:val="00047873"/>
    <w:rsid w:val="0005142D"/>
    <w:rsid w:val="000543B1"/>
    <w:rsid w:val="00054676"/>
    <w:rsid w:val="0005511D"/>
    <w:rsid w:val="00055EF9"/>
    <w:rsid w:val="00056AE0"/>
    <w:rsid w:val="00057394"/>
    <w:rsid w:val="00057A47"/>
    <w:rsid w:val="00060D51"/>
    <w:rsid w:val="0006138E"/>
    <w:rsid w:val="000616B8"/>
    <w:rsid w:val="00061774"/>
    <w:rsid w:val="000621A2"/>
    <w:rsid w:val="00062AC3"/>
    <w:rsid w:val="00062E75"/>
    <w:rsid w:val="0006428F"/>
    <w:rsid w:val="00065B84"/>
    <w:rsid w:val="00066278"/>
    <w:rsid w:val="00066472"/>
    <w:rsid w:val="00066BDD"/>
    <w:rsid w:val="00067BDE"/>
    <w:rsid w:val="000704A1"/>
    <w:rsid w:val="00071152"/>
    <w:rsid w:val="000711AB"/>
    <w:rsid w:val="00072F3A"/>
    <w:rsid w:val="000755AC"/>
    <w:rsid w:val="00075D8C"/>
    <w:rsid w:val="0007668A"/>
    <w:rsid w:val="000769C6"/>
    <w:rsid w:val="00076A51"/>
    <w:rsid w:val="00077434"/>
    <w:rsid w:val="000827EB"/>
    <w:rsid w:val="00083963"/>
    <w:rsid w:val="000853C6"/>
    <w:rsid w:val="000860F0"/>
    <w:rsid w:val="0008658A"/>
    <w:rsid w:val="00086CA3"/>
    <w:rsid w:val="00086CF0"/>
    <w:rsid w:val="00086D6B"/>
    <w:rsid w:val="000876F4"/>
    <w:rsid w:val="00090546"/>
    <w:rsid w:val="000910B3"/>
    <w:rsid w:val="000911BA"/>
    <w:rsid w:val="000926AD"/>
    <w:rsid w:val="00092F0B"/>
    <w:rsid w:val="00092F18"/>
    <w:rsid w:val="000946DA"/>
    <w:rsid w:val="00095560"/>
    <w:rsid w:val="00095953"/>
    <w:rsid w:val="00095C82"/>
    <w:rsid w:val="00096585"/>
    <w:rsid w:val="000966D0"/>
    <w:rsid w:val="000966D2"/>
    <w:rsid w:val="000969E3"/>
    <w:rsid w:val="000A1AFB"/>
    <w:rsid w:val="000A23B4"/>
    <w:rsid w:val="000A2603"/>
    <w:rsid w:val="000A3016"/>
    <w:rsid w:val="000A313B"/>
    <w:rsid w:val="000A329C"/>
    <w:rsid w:val="000A3352"/>
    <w:rsid w:val="000A33A1"/>
    <w:rsid w:val="000A3921"/>
    <w:rsid w:val="000A42EE"/>
    <w:rsid w:val="000A46FD"/>
    <w:rsid w:val="000A5A87"/>
    <w:rsid w:val="000A5AB0"/>
    <w:rsid w:val="000A63E9"/>
    <w:rsid w:val="000A65D6"/>
    <w:rsid w:val="000A6767"/>
    <w:rsid w:val="000A6AE2"/>
    <w:rsid w:val="000A6F81"/>
    <w:rsid w:val="000A7E3F"/>
    <w:rsid w:val="000B0741"/>
    <w:rsid w:val="000B08AB"/>
    <w:rsid w:val="000B0DAF"/>
    <w:rsid w:val="000B1658"/>
    <w:rsid w:val="000B2114"/>
    <w:rsid w:val="000B2456"/>
    <w:rsid w:val="000B25DE"/>
    <w:rsid w:val="000B289F"/>
    <w:rsid w:val="000B30B7"/>
    <w:rsid w:val="000B3280"/>
    <w:rsid w:val="000B34C2"/>
    <w:rsid w:val="000B4861"/>
    <w:rsid w:val="000B4A31"/>
    <w:rsid w:val="000B5618"/>
    <w:rsid w:val="000B5E74"/>
    <w:rsid w:val="000B6317"/>
    <w:rsid w:val="000B66E4"/>
    <w:rsid w:val="000B7B7B"/>
    <w:rsid w:val="000C024E"/>
    <w:rsid w:val="000C0528"/>
    <w:rsid w:val="000C0DF8"/>
    <w:rsid w:val="000C121E"/>
    <w:rsid w:val="000C13AF"/>
    <w:rsid w:val="000C189F"/>
    <w:rsid w:val="000C1C82"/>
    <w:rsid w:val="000C222D"/>
    <w:rsid w:val="000C42CC"/>
    <w:rsid w:val="000C4327"/>
    <w:rsid w:val="000C4A81"/>
    <w:rsid w:val="000C4F90"/>
    <w:rsid w:val="000C523A"/>
    <w:rsid w:val="000C772A"/>
    <w:rsid w:val="000C7921"/>
    <w:rsid w:val="000C7F32"/>
    <w:rsid w:val="000D0375"/>
    <w:rsid w:val="000D1758"/>
    <w:rsid w:val="000D31D9"/>
    <w:rsid w:val="000D3FD0"/>
    <w:rsid w:val="000D478F"/>
    <w:rsid w:val="000D4B82"/>
    <w:rsid w:val="000D4F23"/>
    <w:rsid w:val="000D5768"/>
    <w:rsid w:val="000D5F47"/>
    <w:rsid w:val="000D6D4C"/>
    <w:rsid w:val="000D777A"/>
    <w:rsid w:val="000D7B9A"/>
    <w:rsid w:val="000E07E0"/>
    <w:rsid w:val="000E0867"/>
    <w:rsid w:val="000E1B8E"/>
    <w:rsid w:val="000E20E7"/>
    <w:rsid w:val="000E3B22"/>
    <w:rsid w:val="000E4AD7"/>
    <w:rsid w:val="000E610C"/>
    <w:rsid w:val="000E65F1"/>
    <w:rsid w:val="000E7527"/>
    <w:rsid w:val="000E7781"/>
    <w:rsid w:val="000F0677"/>
    <w:rsid w:val="000F0D04"/>
    <w:rsid w:val="000F183C"/>
    <w:rsid w:val="000F225D"/>
    <w:rsid w:val="000F35AC"/>
    <w:rsid w:val="000F4030"/>
    <w:rsid w:val="000F4131"/>
    <w:rsid w:val="000F44BE"/>
    <w:rsid w:val="000F5639"/>
    <w:rsid w:val="000F6320"/>
    <w:rsid w:val="000F6A22"/>
    <w:rsid w:val="000F6BD4"/>
    <w:rsid w:val="000F7247"/>
    <w:rsid w:val="000F7CC5"/>
    <w:rsid w:val="00100157"/>
    <w:rsid w:val="00100AAE"/>
    <w:rsid w:val="00100C8C"/>
    <w:rsid w:val="00102224"/>
    <w:rsid w:val="00103179"/>
    <w:rsid w:val="00103D49"/>
    <w:rsid w:val="00104ABF"/>
    <w:rsid w:val="001057BE"/>
    <w:rsid w:val="00106021"/>
    <w:rsid w:val="001065AE"/>
    <w:rsid w:val="00106668"/>
    <w:rsid w:val="0010707E"/>
    <w:rsid w:val="00107150"/>
    <w:rsid w:val="00107A5A"/>
    <w:rsid w:val="00110309"/>
    <w:rsid w:val="00110458"/>
    <w:rsid w:val="00110BBC"/>
    <w:rsid w:val="0011181F"/>
    <w:rsid w:val="00111845"/>
    <w:rsid w:val="001139C7"/>
    <w:rsid w:val="001140D7"/>
    <w:rsid w:val="00115D6A"/>
    <w:rsid w:val="00115EBC"/>
    <w:rsid w:val="0011669B"/>
    <w:rsid w:val="00116F41"/>
    <w:rsid w:val="00117832"/>
    <w:rsid w:val="00117A62"/>
    <w:rsid w:val="00117F80"/>
    <w:rsid w:val="001204AE"/>
    <w:rsid w:val="001205B8"/>
    <w:rsid w:val="0012134C"/>
    <w:rsid w:val="00121BFC"/>
    <w:rsid w:val="00121DB7"/>
    <w:rsid w:val="0012212C"/>
    <w:rsid w:val="00122951"/>
    <w:rsid w:val="00122FCD"/>
    <w:rsid w:val="001232D0"/>
    <w:rsid w:val="00123B21"/>
    <w:rsid w:val="0012406F"/>
    <w:rsid w:val="00124A6C"/>
    <w:rsid w:val="00124EA0"/>
    <w:rsid w:val="0012602C"/>
    <w:rsid w:val="0012614D"/>
    <w:rsid w:val="0012668F"/>
    <w:rsid w:val="00126919"/>
    <w:rsid w:val="0012766E"/>
    <w:rsid w:val="00127EC0"/>
    <w:rsid w:val="00127F85"/>
    <w:rsid w:val="00130095"/>
    <w:rsid w:val="00131982"/>
    <w:rsid w:val="00131B7F"/>
    <w:rsid w:val="00132D98"/>
    <w:rsid w:val="00133B91"/>
    <w:rsid w:val="00134118"/>
    <w:rsid w:val="0013413B"/>
    <w:rsid w:val="0013445F"/>
    <w:rsid w:val="0013576D"/>
    <w:rsid w:val="00135791"/>
    <w:rsid w:val="00136D64"/>
    <w:rsid w:val="001373B4"/>
    <w:rsid w:val="0013753C"/>
    <w:rsid w:val="00140AE5"/>
    <w:rsid w:val="00140E3B"/>
    <w:rsid w:val="001410AD"/>
    <w:rsid w:val="001411BC"/>
    <w:rsid w:val="001412DE"/>
    <w:rsid w:val="00141B34"/>
    <w:rsid w:val="00142377"/>
    <w:rsid w:val="0014258C"/>
    <w:rsid w:val="001425FF"/>
    <w:rsid w:val="0014284F"/>
    <w:rsid w:val="00143210"/>
    <w:rsid w:val="0014380D"/>
    <w:rsid w:val="00143D92"/>
    <w:rsid w:val="00144384"/>
    <w:rsid w:val="00144953"/>
    <w:rsid w:val="001449D9"/>
    <w:rsid w:val="0014512F"/>
    <w:rsid w:val="001454E1"/>
    <w:rsid w:val="001462DF"/>
    <w:rsid w:val="0014654F"/>
    <w:rsid w:val="0014762F"/>
    <w:rsid w:val="00147C7C"/>
    <w:rsid w:val="00147EE4"/>
    <w:rsid w:val="0015001C"/>
    <w:rsid w:val="001507FB"/>
    <w:rsid w:val="001509FA"/>
    <w:rsid w:val="00150C19"/>
    <w:rsid w:val="00150E01"/>
    <w:rsid w:val="001527EB"/>
    <w:rsid w:val="00153499"/>
    <w:rsid w:val="00155291"/>
    <w:rsid w:val="00155359"/>
    <w:rsid w:val="001556F0"/>
    <w:rsid w:val="00156A14"/>
    <w:rsid w:val="00157A5E"/>
    <w:rsid w:val="001606AB"/>
    <w:rsid w:val="00160A06"/>
    <w:rsid w:val="00160CD7"/>
    <w:rsid w:val="00161574"/>
    <w:rsid w:val="0016168B"/>
    <w:rsid w:val="0016217E"/>
    <w:rsid w:val="0016245C"/>
    <w:rsid w:val="0016246D"/>
    <w:rsid w:val="0016353E"/>
    <w:rsid w:val="001636BA"/>
    <w:rsid w:val="001639BC"/>
    <w:rsid w:val="00165FC5"/>
    <w:rsid w:val="0016622F"/>
    <w:rsid w:val="0016641C"/>
    <w:rsid w:val="00166EBE"/>
    <w:rsid w:val="0016706D"/>
    <w:rsid w:val="001671F8"/>
    <w:rsid w:val="0016779C"/>
    <w:rsid w:val="001677D8"/>
    <w:rsid w:val="001708ED"/>
    <w:rsid w:val="00170F19"/>
    <w:rsid w:val="00171407"/>
    <w:rsid w:val="00173913"/>
    <w:rsid w:val="00174256"/>
    <w:rsid w:val="0017437A"/>
    <w:rsid w:val="00174FAA"/>
    <w:rsid w:val="00175C3A"/>
    <w:rsid w:val="00176425"/>
    <w:rsid w:val="00176864"/>
    <w:rsid w:val="001769D4"/>
    <w:rsid w:val="00180612"/>
    <w:rsid w:val="00180E2D"/>
    <w:rsid w:val="0018123A"/>
    <w:rsid w:val="00181407"/>
    <w:rsid w:val="00181C73"/>
    <w:rsid w:val="001824A1"/>
    <w:rsid w:val="00182EB3"/>
    <w:rsid w:val="00182EF9"/>
    <w:rsid w:val="0018329D"/>
    <w:rsid w:val="00183453"/>
    <w:rsid w:val="00183CE1"/>
    <w:rsid w:val="00183DA6"/>
    <w:rsid w:val="001847B2"/>
    <w:rsid w:val="00184E92"/>
    <w:rsid w:val="0018541B"/>
    <w:rsid w:val="00185F2C"/>
    <w:rsid w:val="00190433"/>
    <w:rsid w:val="00191211"/>
    <w:rsid w:val="0019166E"/>
    <w:rsid w:val="001917AF"/>
    <w:rsid w:val="00191F41"/>
    <w:rsid w:val="001921C2"/>
    <w:rsid w:val="001925B7"/>
    <w:rsid w:val="00192815"/>
    <w:rsid w:val="00192C95"/>
    <w:rsid w:val="00194752"/>
    <w:rsid w:val="001958E9"/>
    <w:rsid w:val="001961B4"/>
    <w:rsid w:val="00196250"/>
    <w:rsid w:val="0019625F"/>
    <w:rsid w:val="001A04C4"/>
    <w:rsid w:val="001A120C"/>
    <w:rsid w:val="001A1289"/>
    <w:rsid w:val="001A1884"/>
    <w:rsid w:val="001A1CC3"/>
    <w:rsid w:val="001A1E2F"/>
    <w:rsid w:val="001A23E5"/>
    <w:rsid w:val="001A25C8"/>
    <w:rsid w:val="001A2D95"/>
    <w:rsid w:val="001A3412"/>
    <w:rsid w:val="001A3739"/>
    <w:rsid w:val="001A4322"/>
    <w:rsid w:val="001A4958"/>
    <w:rsid w:val="001A4BF0"/>
    <w:rsid w:val="001A6091"/>
    <w:rsid w:val="001A61E6"/>
    <w:rsid w:val="001A7E4C"/>
    <w:rsid w:val="001B00B4"/>
    <w:rsid w:val="001B2516"/>
    <w:rsid w:val="001B27A6"/>
    <w:rsid w:val="001B2B56"/>
    <w:rsid w:val="001B2BDC"/>
    <w:rsid w:val="001B2E96"/>
    <w:rsid w:val="001B3554"/>
    <w:rsid w:val="001B4BF4"/>
    <w:rsid w:val="001B4FC9"/>
    <w:rsid w:val="001B60CE"/>
    <w:rsid w:val="001B768B"/>
    <w:rsid w:val="001C0593"/>
    <w:rsid w:val="001C0B48"/>
    <w:rsid w:val="001C0C96"/>
    <w:rsid w:val="001C0DBB"/>
    <w:rsid w:val="001C0F40"/>
    <w:rsid w:val="001C1533"/>
    <w:rsid w:val="001C1593"/>
    <w:rsid w:val="001C1CC9"/>
    <w:rsid w:val="001C2047"/>
    <w:rsid w:val="001C23C4"/>
    <w:rsid w:val="001C2733"/>
    <w:rsid w:val="001C2BC0"/>
    <w:rsid w:val="001C2F0B"/>
    <w:rsid w:val="001C3A0F"/>
    <w:rsid w:val="001C3C45"/>
    <w:rsid w:val="001C3F32"/>
    <w:rsid w:val="001C482D"/>
    <w:rsid w:val="001C49A0"/>
    <w:rsid w:val="001C49C0"/>
    <w:rsid w:val="001C4AB0"/>
    <w:rsid w:val="001C4AF3"/>
    <w:rsid w:val="001C5604"/>
    <w:rsid w:val="001C5A69"/>
    <w:rsid w:val="001C6BFB"/>
    <w:rsid w:val="001C7248"/>
    <w:rsid w:val="001C766E"/>
    <w:rsid w:val="001D067E"/>
    <w:rsid w:val="001D0D0C"/>
    <w:rsid w:val="001D0F13"/>
    <w:rsid w:val="001D2A62"/>
    <w:rsid w:val="001D374D"/>
    <w:rsid w:val="001D3B72"/>
    <w:rsid w:val="001D4247"/>
    <w:rsid w:val="001D48A3"/>
    <w:rsid w:val="001D6572"/>
    <w:rsid w:val="001D6A64"/>
    <w:rsid w:val="001E02E5"/>
    <w:rsid w:val="001E065B"/>
    <w:rsid w:val="001E0DB2"/>
    <w:rsid w:val="001E1E7D"/>
    <w:rsid w:val="001E267F"/>
    <w:rsid w:val="001E36F3"/>
    <w:rsid w:val="001E3E39"/>
    <w:rsid w:val="001E4049"/>
    <w:rsid w:val="001E4BB6"/>
    <w:rsid w:val="001E4C12"/>
    <w:rsid w:val="001E4F43"/>
    <w:rsid w:val="001E5340"/>
    <w:rsid w:val="001E6116"/>
    <w:rsid w:val="001E6346"/>
    <w:rsid w:val="001E6498"/>
    <w:rsid w:val="001E7EC2"/>
    <w:rsid w:val="001F0878"/>
    <w:rsid w:val="001F0B11"/>
    <w:rsid w:val="001F10FF"/>
    <w:rsid w:val="001F2815"/>
    <w:rsid w:val="001F29D2"/>
    <w:rsid w:val="001F31ED"/>
    <w:rsid w:val="001F47A9"/>
    <w:rsid w:val="001F4F0F"/>
    <w:rsid w:val="001F66FD"/>
    <w:rsid w:val="001F689F"/>
    <w:rsid w:val="001F6DF2"/>
    <w:rsid w:val="001F7BF0"/>
    <w:rsid w:val="002005E9"/>
    <w:rsid w:val="00200B31"/>
    <w:rsid w:val="00200E92"/>
    <w:rsid w:val="002014A0"/>
    <w:rsid w:val="00201FF2"/>
    <w:rsid w:val="002026F2"/>
    <w:rsid w:val="002029E9"/>
    <w:rsid w:val="00202A0D"/>
    <w:rsid w:val="00202BD9"/>
    <w:rsid w:val="00203912"/>
    <w:rsid w:val="00203D0B"/>
    <w:rsid w:val="00203E97"/>
    <w:rsid w:val="00204D55"/>
    <w:rsid w:val="0020741C"/>
    <w:rsid w:val="00210E30"/>
    <w:rsid w:val="002110CA"/>
    <w:rsid w:val="0021160D"/>
    <w:rsid w:val="00211E74"/>
    <w:rsid w:val="00212041"/>
    <w:rsid w:val="00212606"/>
    <w:rsid w:val="002126A3"/>
    <w:rsid w:val="00213271"/>
    <w:rsid w:val="002135C9"/>
    <w:rsid w:val="002139F3"/>
    <w:rsid w:val="00213AD7"/>
    <w:rsid w:val="0021437F"/>
    <w:rsid w:val="00214633"/>
    <w:rsid w:val="0021490C"/>
    <w:rsid w:val="00214BC8"/>
    <w:rsid w:val="00214C52"/>
    <w:rsid w:val="00214F0C"/>
    <w:rsid w:val="002159EA"/>
    <w:rsid w:val="00215DD2"/>
    <w:rsid w:val="00216020"/>
    <w:rsid w:val="00217121"/>
    <w:rsid w:val="0021782A"/>
    <w:rsid w:val="00217F66"/>
    <w:rsid w:val="0022053F"/>
    <w:rsid w:val="002206BA"/>
    <w:rsid w:val="00221237"/>
    <w:rsid w:val="00222A76"/>
    <w:rsid w:val="0022336E"/>
    <w:rsid w:val="00223532"/>
    <w:rsid w:val="00223DE7"/>
    <w:rsid w:val="002245A1"/>
    <w:rsid w:val="00224D53"/>
    <w:rsid w:val="00224DC4"/>
    <w:rsid w:val="00226E23"/>
    <w:rsid w:val="0023036C"/>
    <w:rsid w:val="002306C4"/>
    <w:rsid w:val="0023472B"/>
    <w:rsid w:val="00234761"/>
    <w:rsid w:val="00234872"/>
    <w:rsid w:val="0023599F"/>
    <w:rsid w:val="00237362"/>
    <w:rsid w:val="00237437"/>
    <w:rsid w:val="00237F3A"/>
    <w:rsid w:val="002406CF"/>
    <w:rsid w:val="00240733"/>
    <w:rsid w:val="0024144F"/>
    <w:rsid w:val="00241C04"/>
    <w:rsid w:val="002420CD"/>
    <w:rsid w:val="00242E3A"/>
    <w:rsid w:val="00242F70"/>
    <w:rsid w:val="00243689"/>
    <w:rsid w:val="00243954"/>
    <w:rsid w:val="00243B64"/>
    <w:rsid w:val="0024412A"/>
    <w:rsid w:val="002445BA"/>
    <w:rsid w:val="00244684"/>
    <w:rsid w:val="00244BEE"/>
    <w:rsid w:val="00245ECE"/>
    <w:rsid w:val="0024698A"/>
    <w:rsid w:val="00246AB7"/>
    <w:rsid w:val="002548B6"/>
    <w:rsid w:val="00255344"/>
    <w:rsid w:val="00255DFE"/>
    <w:rsid w:val="00255FB4"/>
    <w:rsid w:val="0025686E"/>
    <w:rsid w:val="00257294"/>
    <w:rsid w:val="002577CA"/>
    <w:rsid w:val="00257ABB"/>
    <w:rsid w:val="00260E08"/>
    <w:rsid w:val="002616CA"/>
    <w:rsid w:val="00261D8D"/>
    <w:rsid w:val="00262926"/>
    <w:rsid w:val="00262EA3"/>
    <w:rsid w:val="00266715"/>
    <w:rsid w:val="00266B69"/>
    <w:rsid w:val="002675CF"/>
    <w:rsid w:val="00270611"/>
    <w:rsid w:val="002716C5"/>
    <w:rsid w:val="002727BF"/>
    <w:rsid w:val="00272EA3"/>
    <w:rsid w:val="002734D9"/>
    <w:rsid w:val="00273C76"/>
    <w:rsid w:val="00274150"/>
    <w:rsid w:val="00274297"/>
    <w:rsid w:val="0027458B"/>
    <w:rsid w:val="00275474"/>
    <w:rsid w:val="00275C93"/>
    <w:rsid w:val="002763F7"/>
    <w:rsid w:val="00277511"/>
    <w:rsid w:val="0027751D"/>
    <w:rsid w:val="00277D09"/>
    <w:rsid w:val="002833E4"/>
    <w:rsid w:val="00284E53"/>
    <w:rsid w:val="0028607E"/>
    <w:rsid w:val="00286B1A"/>
    <w:rsid w:val="00286E27"/>
    <w:rsid w:val="00287306"/>
    <w:rsid w:val="00290387"/>
    <w:rsid w:val="0029038A"/>
    <w:rsid w:val="002903E1"/>
    <w:rsid w:val="002908E9"/>
    <w:rsid w:val="00290B83"/>
    <w:rsid w:val="00291547"/>
    <w:rsid w:val="002923E6"/>
    <w:rsid w:val="002924EC"/>
    <w:rsid w:val="00293C55"/>
    <w:rsid w:val="00293C76"/>
    <w:rsid w:val="00293D96"/>
    <w:rsid w:val="00294EB1"/>
    <w:rsid w:val="00295769"/>
    <w:rsid w:val="00295F44"/>
    <w:rsid w:val="00295F92"/>
    <w:rsid w:val="00296CA8"/>
    <w:rsid w:val="002A026B"/>
    <w:rsid w:val="002A0AF3"/>
    <w:rsid w:val="002A106B"/>
    <w:rsid w:val="002A111F"/>
    <w:rsid w:val="002A397C"/>
    <w:rsid w:val="002A3B6A"/>
    <w:rsid w:val="002A3BF1"/>
    <w:rsid w:val="002A4513"/>
    <w:rsid w:val="002A454E"/>
    <w:rsid w:val="002A5316"/>
    <w:rsid w:val="002A5348"/>
    <w:rsid w:val="002A54C7"/>
    <w:rsid w:val="002A61CF"/>
    <w:rsid w:val="002A6271"/>
    <w:rsid w:val="002A6E6F"/>
    <w:rsid w:val="002A786C"/>
    <w:rsid w:val="002B0332"/>
    <w:rsid w:val="002B03A1"/>
    <w:rsid w:val="002B066C"/>
    <w:rsid w:val="002B09F3"/>
    <w:rsid w:val="002B0A21"/>
    <w:rsid w:val="002B0D0D"/>
    <w:rsid w:val="002B13EC"/>
    <w:rsid w:val="002B170B"/>
    <w:rsid w:val="002B1E2B"/>
    <w:rsid w:val="002B26CE"/>
    <w:rsid w:val="002B284F"/>
    <w:rsid w:val="002B2C92"/>
    <w:rsid w:val="002B41B9"/>
    <w:rsid w:val="002B4A7D"/>
    <w:rsid w:val="002B5454"/>
    <w:rsid w:val="002B5627"/>
    <w:rsid w:val="002B5719"/>
    <w:rsid w:val="002B6FB2"/>
    <w:rsid w:val="002B787C"/>
    <w:rsid w:val="002B7B0E"/>
    <w:rsid w:val="002C0504"/>
    <w:rsid w:val="002C066A"/>
    <w:rsid w:val="002C1D88"/>
    <w:rsid w:val="002C1E32"/>
    <w:rsid w:val="002C1F94"/>
    <w:rsid w:val="002C3882"/>
    <w:rsid w:val="002C3FEF"/>
    <w:rsid w:val="002C4DB2"/>
    <w:rsid w:val="002C56ED"/>
    <w:rsid w:val="002C57DC"/>
    <w:rsid w:val="002C6097"/>
    <w:rsid w:val="002C6272"/>
    <w:rsid w:val="002C65AD"/>
    <w:rsid w:val="002C6D10"/>
    <w:rsid w:val="002C7F02"/>
    <w:rsid w:val="002D03AA"/>
    <w:rsid w:val="002D0CA3"/>
    <w:rsid w:val="002D1F33"/>
    <w:rsid w:val="002D22F7"/>
    <w:rsid w:val="002D2B9F"/>
    <w:rsid w:val="002D3944"/>
    <w:rsid w:val="002D4A13"/>
    <w:rsid w:val="002D4BD1"/>
    <w:rsid w:val="002D56DF"/>
    <w:rsid w:val="002D66A5"/>
    <w:rsid w:val="002D6D16"/>
    <w:rsid w:val="002D737A"/>
    <w:rsid w:val="002D75B8"/>
    <w:rsid w:val="002E00EA"/>
    <w:rsid w:val="002E05F6"/>
    <w:rsid w:val="002E0EC2"/>
    <w:rsid w:val="002E1C1B"/>
    <w:rsid w:val="002E2188"/>
    <w:rsid w:val="002E2E62"/>
    <w:rsid w:val="002E31EC"/>
    <w:rsid w:val="002E349B"/>
    <w:rsid w:val="002E373C"/>
    <w:rsid w:val="002E3FB0"/>
    <w:rsid w:val="002E4C2C"/>
    <w:rsid w:val="002E5113"/>
    <w:rsid w:val="002E529A"/>
    <w:rsid w:val="002E56D3"/>
    <w:rsid w:val="002E5811"/>
    <w:rsid w:val="002E5A87"/>
    <w:rsid w:val="002E7A77"/>
    <w:rsid w:val="002E7DC4"/>
    <w:rsid w:val="002F0270"/>
    <w:rsid w:val="002F0BA0"/>
    <w:rsid w:val="002F0D8B"/>
    <w:rsid w:val="002F1BB1"/>
    <w:rsid w:val="002F371B"/>
    <w:rsid w:val="002F41E9"/>
    <w:rsid w:val="002F6732"/>
    <w:rsid w:val="002F712F"/>
    <w:rsid w:val="002F7166"/>
    <w:rsid w:val="002F7379"/>
    <w:rsid w:val="002F7CB5"/>
    <w:rsid w:val="003011D1"/>
    <w:rsid w:val="0030164D"/>
    <w:rsid w:val="00302060"/>
    <w:rsid w:val="003026C6"/>
    <w:rsid w:val="0030298E"/>
    <w:rsid w:val="0030304A"/>
    <w:rsid w:val="003031EC"/>
    <w:rsid w:val="00303874"/>
    <w:rsid w:val="003048FB"/>
    <w:rsid w:val="00304BDF"/>
    <w:rsid w:val="00305ABE"/>
    <w:rsid w:val="00305D10"/>
    <w:rsid w:val="0030736F"/>
    <w:rsid w:val="003078F2"/>
    <w:rsid w:val="00310BDF"/>
    <w:rsid w:val="003113F5"/>
    <w:rsid w:val="0031229F"/>
    <w:rsid w:val="0031244C"/>
    <w:rsid w:val="00312584"/>
    <w:rsid w:val="00312726"/>
    <w:rsid w:val="003134DF"/>
    <w:rsid w:val="003135D2"/>
    <w:rsid w:val="00314A23"/>
    <w:rsid w:val="00317246"/>
    <w:rsid w:val="00317526"/>
    <w:rsid w:val="00317BA5"/>
    <w:rsid w:val="00320DA6"/>
    <w:rsid w:val="00320EDF"/>
    <w:rsid w:val="0032149D"/>
    <w:rsid w:val="003228B6"/>
    <w:rsid w:val="00322E2D"/>
    <w:rsid w:val="00322F8C"/>
    <w:rsid w:val="003232EC"/>
    <w:rsid w:val="00324919"/>
    <w:rsid w:val="00324EC4"/>
    <w:rsid w:val="00325AAA"/>
    <w:rsid w:val="0032786C"/>
    <w:rsid w:val="00327BC8"/>
    <w:rsid w:val="00330387"/>
    <w:rsid w:val="0033086A"/>
    <w:rsid w:val="00330ED2"/>
    <w:rsid w:val="00330F0B"/>
    <w:rsid w:val="00331594"/>
    <w:rsid w:val="00331BA4"/>
    <w:rsid w:val="0033215A"/>
    <w:rsid w:val="00332716"/>
    <w:rsid w:val="00333384"/>
    <w:rsid w:val="003349E2"/>
    <w:rsid w:val="00334A3E"/>
    <w:rsid w:val="00335516"/>
    <w:rsid w:val="003358DE"/>
    <w:rsid w:val="003359D8"/>
    <w:rsid w:val="00336870"/>
    <w:rsid w:val="00336B87"/>
    <w:rsid w:val="00336B9E"/>
    <w:rsid w:val="0033789A"/>
    <w:rsid w:val="00340608"/>
    <w:rsid w:val="00340CA4"/>
    <w:rsid w:val="00341AB4"/>
    <w:rsid w:val="00341EF9"/>
    <w:rsid w:val="00342902"/>
    <w:rsid w:val="00343212"/>
    <w:rsid w:val="00343C18"/>
    <w:rsid w:val="00343F31"/>
    <w:rsid w:val="003449A0"/>
    <w:rsid w:val="00345069"/>
    <w:rsid w:val="00345D2E"/>
    <w:rsid w:val="0034612B"/>
    <w:rsid w:val="00346359"/>
    <w:rsid w:val="00346D93"/>
    <w:rsid w:val="00347511"/>
    <w:rsid w:val="00347B4C"/>
    <w:rsid w:val="00350521"/>
    <w:rsid w:val="003508B6"/>
    <w:rsid w:val="00350E1D"/>
    <w:rsid w:val="00352040"/>
    <w:rsid w:val="003520F3"/>
    <w:rsid w:val="003529A6"/>
    <w:rsid w:val="00353651"/>
    <w:rsid w:val="0035399E"/>
    <w:rsid w:val="00353B70"/>
    <w:rsid w:val="0035540D"/>
    <w:rsid w:val="003554EA"/>
    <w:rsid w:val="00357896"/>
    <w:rsid w:val="003604A8"/>
    <w:rsid w:val="00360A45"/>
    <w:rsid w:val="00361741"/>
    <w:rsid w:val="00361F16"/>
    <w:rsid w:val="0036249F"/>
    <w:rsid w:val="00362769"/>
    <w:rsid w:val="00362F7C"/>
    <w:rsid w:val="0036329A"/>
    <w:rsid w:val="00363569"/>
    <w:rsid w:val="00364977"/>
    <w:rsid w:val="00366221"/>
    <w:rsid w:val="00366609"/>
    <w:rsid w:val="00366BDE"/>
    <w:rsid w:val="00371056"/>
    <w:rsid w:val="00371920"/>
    <w:rsid w:val="00372DD6"/>
    <w:rsid w:val="00373C25"/>
    <w:rsid w:val="003745FC"/>
    <w:rsid w:val="00374F14"/>
    <w:rsid w:val="0037565C"/>
    <w:rsid w:val="0037660A"/>
    <w:rsid w:val="00376921"/>
    <w:rsid w:val="003769D1"/>
    <w:rsid w:val="00380256"/>
    <w:rsid w:val="00381C21"/>
    <w:rsid w:val="0038223B"/>
    <w:rsid w:val="003825C5"/>
    <w:rsid w:val="00383340"/>
    <w:rsid w:val="00384AA9"/>
    <w:rsid w:val="00386944"/>
    <w:rsid w:val="00387204"/>
    <w:rsid w:val="00390077"/>
    <w:rsid w:val="003901EB"/>
    <w:rsid w:val="00390458"/>
    <w:rsid w:val="00390A48"/>
    <w:rsid w:val="00391002"/>
    <w:rsid w:val="0039112C"/>
    <w:rsid w:val="00391692"/>
    <w:rsid w:val="0039225F"/>
    <w:rsid w:val="003929FE"/>
    <w:rsid w:val="00392BE8"/>
    <w:rsid w:val="00392F39"/>
    <w:rsid w:val="00395920"/>
    <w:rsid w:val="003959C9"/>
    <w:rsid w:val="00396489"/>
    <w:rsid w:val="00397219"/>
    <w:rsid w:val="00397AF0"/>
    <w:rsid w:val="003A0B92"/>
    <w:rsid w:val="003A1648"/>
    <w:rsid w:val="003A180F"/>
    <w:rsid w:val="003A1A91"/>
    <w:rsid w:val="003A22CB"/>
    <w:rsid w:val="003A3C1C"/>
    <w:rsid w:val="003A3ECB"/>
    <w:rsid w:val="003A51B3"/>
    <w:rsid w:val="003A5E1C"/>
    <w:rsid w:val="003A6021"/>
    <w:rsid w:val="003A609A"/>
    <w:rsid w:val="003B027C"/>
    <w:rsid w:val="003B1050"/>
    <w:rsid w:val="003B1461"/>
    <w:rsid w:val="003B17A4"/>
    <w:rsid w:val="003B22B2"/>
    <w:rsid w:val="003B2396"/>
    <w:rsid w:val="003B2A02"/>
    <w:rsid w:val="003B5059"/>
    <w:rsid w:val="003B5097"/>
    <w:rsid w:val="003B694E"/>
    <w:rsid w:val="003B7009"/>
    <w:rsid w:val="003C0847"/>
    <w:rsid w:val="003C17B6"/>
    <w:rsid w:val="003C1BD3"/>
    <w:rsid w:val="003C1EDD"/>
    <w:rsid w:val="003C24CC"/>
    <w:rsid w:val="003C2C0B"/>
    <w:rsid w:val="003C4B63"/>
    <w:rsid w:val="003C559B"/>
    <w:rsid w:val="003C5806"/>
    <w:rsid w:val="003C5A34"/>
    <w:rsid w:val="003C5C26"/>
    <w:rsid w:val="003C6670"/>
    <w:rsid w:val="003C7AE4"/>
    <w:rsid w:val="003D01E4"/>
    <w:rsid w:val="003D0F88"/>
    <w:rsid w:val="003D2D75"/>
    <w:rsid w:val="003D3260"/>
    <w:rsid w:val="003D37B9"/>
    <w:rsid w:val="003D3D70"/>
    <w:rsid w:val="003D40CE"/>
    <w:rsid w:val="003D54DC"/>
    <w:rsid w:val="003D5CB5"/>
    <w:rsid w:val="003D70C4"/>
    <w:rsid w:val="003E031C"/>
    <w:rsid w:val="003E0391"/>
    <w:rsid w:val="003E04D5"/>
    <w:rsid w:val="003E09EC"/>
    <w:rsid w:val="003E1B58"/>
    <w:rsid w:val="003E372A"/>
    <w:rsid w:val="003E3CCB"/>
    <w:rsid w:val="003E3CF5"/>
    <w:rsid w:val="003E44DB"/>
    <w:rsid w:val="003E47B4"/>
    <w:rsid w:val="003E4B74"/>
    <w:rsid w:val="003E5F08"/>
    <w:rsid w:val="003E5F3B"/>
    <w:rsid w:val="003E6A06"/>
    <w:rsid w:val="003E6D1E"/>
    <w:rsid w:val="003E6F45"/>
    <w:rsid w:val="003E726D"/>
    <w:rsid w:val="003E790B"/>
    <w:rsid w:val="003F04D2"/>
    <w:rsid w:val="003F2502"/>
    <w:rsid w:val="003F303B"/>
    <w:rsid w:val="003F4622"/>
    <w:rsid w:val="003F4C3A"/>
    <w:rsid w:val="003F4E04"/>
    <w:rsid w:val="003F5096"/>
    <w:rsid w:val="003F6028"/>
    <w:rsid w:val="003F6AA0"/>
    <w:rsid w:val="003F6EFC"/>
    <w:rsid w:val="003F75C3"/>
    <w:rsid w:val="003F7CF5"/>
    <w:rsid w:val="00400038"/>
    <w:rsid w:val="0040024B"/>
    <w:rsid w:val="00400E2F"/>
    <w:rsid w:val="00401DA6"/>
    <w:rsid w:val="0040227E"/>
    <w:rsid w:val="00402376"/>
    <w:rsid w:val="00403213"/>
    <w:rsid w:val="0040351B"/>
    <w:rsid w:val="00403AC3"/>
    <w:rsid w:val="00403E65"/>
    <w:rsid w:val="00403FC9"/>
    <w:rsid w:val="00404027"/>
    <w:rsid w:val="00407D95"/>
    <w:rsid w:val="00407E12"/>
    <w:rsid w:val="004107C7"/>
    <w:rsid w:val="00410831"/>
    <w:rsid w:val="004115A6"/>
    <w:rsid w:val="00411F90"/>
    <w:rsid w:val="004129C0"/>
    <w:rsid w:val="00412D3D"/>
    <w:rsid w:val="004139B7"/>
    <w:rsid w:val="00413B50"/>
    <w:rsid w:val="00413F0B"/>
    <w:rsid w:val="00414A8E"/>
    <w:rsid w:val="004154E3"/>
    <w:rsid w:val="00415808"/>
    <w:rsid w:val="00415C89"/>
    <w:rsid w:val="004161EB"/>
    <w:rsid w:val="004171CA"/>
    <w:rsid w:val="004175B9"/>
    <w:rsid w:val="00420B43"/>
    <w:rsid w:val="00421D6C"/>
    <w:rsid w:val="00422B63"/>
    <w:rsid w:val="00422CFD"/>
    <w:rsid w:val="00424E74"/>
    <w:rsid w:val="0042512A"/>
    <w:rsid w:val="004252C3"/>
    <w:rsid w:val="0042533C"/>
    <w:rsid w:val="00425EBC"/>
    <w:rsid w:val="00426AD5"/>
    <w:rsid w:val="00426DEB"/>
    <w:rsid w:val="0042729C"/>
    <w:rsid w:val="0042750A"/>
    <w:rsid w:val="00427B69"/>
    <w:rsid w:val="00430811"/>
    <w:rsid w:val="00430AD5"/>
    <w:rsid w:val="00430DAE"/>
    <w:rsid w:val="00431AA0"/>
    <w:rsid w:val="00432549"/>
    <w:rsid w:val="00432A10"/>
    <w:rsid w:val="00432DA9"/>
    <w:rsid w:val="004348AB"/>
    <w:rsid w:val="00434D72"/>
    <w:rsid w:val="004352C4"/>
    <w:rsid w:val="00435309"/>
    <w:rsid w:val="004354C0"/>
    <w:rsid w:val="00436409"/>
    <w:rsid w:val="00436914"/>
    <w:rsid w:val="00436D04"/>
    <w:rsid w:val="00437568"/>
    <w:rsid w:val="00437D9A"/>
    <w:rsid w:val="00440354"/>
    <w:rsid w:val="004407DA"/>
    <w:rsid w:val="004414C6"/>
    <w:rsid w:val="004418B4"/>
    <w:rsid w:val="00441A1E"/>
    <w:rsid w:val="00442929"/>
    <w:rsid w:val="00442980"/>
    <w:rsid w:val="00443080"/>
    <w:rsid w:val="00443827"/>
    <w:rsid w:val="00443903"/>
    <w:rsid w:val="00444678"/>
    <w:rsid w:val="00444A12"/>
    <w:rsid w:val="00445DAC"/>
    <w:rsid w:val="00446629"/>
    <w:rsid w:val="00446725"/>
    <w:rsid w:val="00446BC1"/>
    <w:rsid w:val="004474D1"/>
    <w:rsid w:val="00447751"/>
    <w:rsid w:val="00447D3A"/>
    <w:rsid w:val="00450532"/>
    <w:rsid w:val="0045322B"/>
    <w:rsid w:val="004537A7"/>
    <w:rsid w:val="00454972"/>
    <w:rsid w:val="00455A35"/>
    <w:rsid w:val="0045716E"/>
    <w:rsid w:val="00457B5A"/>
    <w:rsid w:val="00457E28"/>
    <w:rsid w:val="00460101"/>
    <w:rsid w:val="0046041E"/>
    <w:rsid w:val="00460589"/>
    <w:rsid w:val="004605AB"/>
    <w:rsid w:val="00460EFC"/>
    <w:rsid w:val="004619C5"/>
    <w:rsid w:val="00461BC0"/>
    <w:rsid w:val="004626A3"/>
    <w:rsid w:val="00463183"/>
    <w:rsid w:val="00463945"/>
    <w:rsid w:val="00463E60"/>
    <w:rsid w:val="00463F21"/>
    <w:rsid w:val="00463F94"/>
    <w:rsid w:val="00464F79"/>
    <w:rsid w:val="00465146"/>
    <w:rsid w:val="00465515"/>
    <w:rsid w:val="00467340"/>
    <w:rsid w:val="004676B0"/>
    <w:rsid w:val="004707D2"/>
    <w:rsid w:val="00470E5E"/>
    <w:rsid w:val="00470F1E"/>
    <w:rsid w:val="00472D4D"/>
    <w:rsid w:val="004733A6"/>
    <w:rsid w:val="004739F9"/>
    <w:rsid w:val="00473E3D"/>
    <w:rsid w:val="00474FD8"/>
    <w:rsid w:val="00477C05"/>
    <w:rsid w:val="00480791"/>
    <w:rsid w:val="00481686"/>
    <w:rsid w:val="004816A6"/>
    <w:rsid w:val="0048283D"/>
    <w:rsid w:val="00483890"/>
    <w:rsid w:val="00483C57"/>
    <w:rsid w:val="00485005"/>
    <w:rsid w:val="004851CF"/>
    <w:rsid w:val="00485547"/>
    <w:rsid w:val="00485B48"/>
    <w:rsid w:val="00486175"/>
    <w:rsid w:val="0048673C"/>
    <w:rsid w:val="00486A61"/>
    <w:rsid w:val="00486D84"/>
    <w:rsid w:val="004873DD"/>
    <w:rsid w:val="00487F2D"/>
    <w:rsid w:val="004903A7"/>
    <w:rsid w:val="004904D6"/>
    <w:rsid w:val="00490FE4"/>
    <w:rsid w:val="00491520"/>
    <w:rsid w:val="00491B13"/>
    <w:rsid w:val="004927E9"/>
    <w:rsid w:val="00492A34"/>
    <w:rsid w:val="00494F05"/>
    <w:rsid w:val="00494FD2"/>
    <w:rsid w:val="004967D9"/>
    <w:rsid w:val="0049690B"/>
    <w:rsid w:val="00496FF4"/>
    <w:rsid w:val="004970A1"/>
    <w:rsid w:val="004A09DF"/>
    <w:rsid w:val="004A0F10"/>
    <w:rsid w:val="004A0F18"/>
    <w:rsid w:val="004A12D7"/>
    <w:rsid w:val="004A220A"/>
    <w:rsid w:val="004A25DC"/>
    <w:rsid w:val="004A2B97"/>
    <w:rsid w:val="004A5411"/>
    <w:rsid w:val="004A61FA"/>
    <w:rsid w:val="004A636D"/>
    <w:rsid w:val="004A7239"/>
    <w:rsid w:val="004A7581"/>
    <w:rsid w:val="004A7BEA"/>
    <w:rsid w:val="004B0488"/>
    <w:rsid w:val="004B04C4"/>
    <w:rsid w:val="004B0E90"/>
    <w:rsid w:val="004B1A75"/>
    <w:rsid w:val="004B1CD4"/>
    <w:rsid w:val="004B2D91"/>
    <w:rsid w:val="004B32ED"/>
    <w:rsid w:val="004B3449"/>
    <w:rsid w:val="004B3BDE"/>
    <w:rsid w:val="004B3CD2"/>
    <w:rsid w:val="004B3CED"/>
    <w:rsid w:val="004B4628"/>
    <w:rsid w:val="004B483A"/>
    <w:rsid w:val="004B4A2F"/>
    <w:rsid w:val="004B544F"/>
    <w:rsid w:val="004B5EE2"/>
    <w:rsid w:val="004B67A8"/>
    <w:rsid w:val="004B6D6E"/>
    <w:rsid w:val="004B7B1B"/>
    <w:rsid w:val="004C01AE"/>
    <w:rsid w:val="004C02F9"/>
    <w:rsid w:val="004C2844"/>
    <w:rsid w:val="004C2903"/>
    <w:rsid w:val="004C4399"/>
    <w:rsid w:val="004C4592"/>
    <w:rsid w:val="004C4875"/>
    <w:rsid w:val="004C4EE1"/>
    <w:rsid w:val="004C51C0"/>
    <w:rsid w:val="004C5A95"/>
    <w:rsid w:val="004C6278"/>
    <w:rsid w:val="004C6D74"/>
    <w:rsid w:val="004D0A48"/>
    <w:rsid w:val="004D10C6"/>
    <w:rsid w:val="004D290B"/>
    <w:rsid w:val="004D2C16"/>
    <w:rsid w:val="004D2C8D"/>
    <w:rsid w:val="004D2F67"/>
    <w:rsid w:val="004D33D4"/>
    <w:rsid w:val="004D36BB"/>
    <w:rsid w:val="004D3EA8"/>
    <w:rsid w:val="004D4515"/>
    <w:rsid w:val="004D5648"/>
    <w:rsid w:val="004D758B"/>
    <w:rsid w:val="004D7790"/>
    <w:rsid w:val="004E04D1"/>
    <w:rsid w:val="004E1C4B"/>
    <w:rsid w:val="004E2082"/>
    <w:rsid w:val="004E2739"/>
    <w:rsid w:val="004E2C6E"/>
    <w:rsid w:val="004E378B"/>
    <w:rsid w:val="004E3938"/>
    <w:rsid w:val="004E47A8"/>
    <w:rsid w:val="004E4AD3"/>
    <w:rsid w:val="004E53F1"/>
    <w:rsid w:val="004E5762"/>
    <w:rsid w:val="004E59A7"/>
    <w:rsid w:val="004E5A0F"/>
    <w:rsid w:val="004E5CF6"/>
    <w:rsid w:val="004E627D"/>
    <w:rsid w:val="004E62DC"/>
    <w:rsid w:val="004E65A5"/>
    <w:rsid w:val="004E724B"/>
    <w:rsid w:val="004E7CF5"/>
    <w:rsid w:val="004F14BC"/>
    <w:rsid w:val="004F17E7"/>
    <w:rsid w:val="004F18C3"/>
    <w:rsid w:val="004F352D"/>
    <w:rsid w:val="004F3BDD"/>
    <w:rsid w:val="004F3D51"/>
    <w:rsid w:val="004F3DE7"/>
    <w:rsid w:val="004F485B"/>
    <w:rsid w:val="004F6764"/>
    <w:rsid w:val="004F6EA6"/>
    <w:rsid w:val="004F6F76"/>
    <w:rsid w:val="004F7104"/>
    <w:rsid w:val="004F7189"/>
    <w:rsid w:val="004F7E1B"/>
    <w:rsid w:val="0050086C"/>
    <w:rsid w:val="00500B04"/>
    <w:rsid w:val="00501524"/>
    <w:rsid w:val="00501A51"/>
    <w:rsid w:val="00501F76"/>
    <w:rsid w:val="00502280"/>
    <w:rsid w:val="005031A4"/>
    <w:rsid w:val="0050386D"/>
    <w:rsid w:val="00503997"/>
    <w:rsid w:val="00504ED1"/>
    <w:rsid w:val="00505463"/>
    <w:rsid w:val="00505E40"/>
    <w:rsid w:val="00505FD6"/>
    <w:rsid w:val="005062C2"/>
    <w:rsid w:val="00506DC3"/>
    <w:rsid w:val="00506E50"/>
    <w:rsid w:val="00507213"/>
    <w:rsid w:val="00507AE0"/>
    <w:rsid w:val="00510A58"/>
    <w:rsid w:val="00511FDA"/>
    <w:rsid w:val="00512544"/>
    <w:rsid w:val="005128E8"/>
    <w:rsid w:val="00512BD0"/>
    <w:rsid w:val="005137E9"/>
    <w:rsid w:val="00513BB3"/>
    <w:rsid w:val="00514736"/>
    <w:rsid w:val="00514CEF"/>
    <w:rsid w:val="005150B5"/>
    <w:rsid w:val="005154F5"/>
    <w:rsid w:val="00515987"/>
    <w:rsid w:val="005168F8"/>
    <w:rsid w:val="005173E2"/>
    <w:rsid w:val="005175F6"/>
    <w:rsid w:val="00520637"/>
    <w:rsid w:val="00520CEE"/>
    <w:rsid w:val="00520D9E"/>
    <w:rsid w:val="00521AA3"/>
    <w:rsid w:val="00522157"/>
    <w:rsid w:val="005221D3"/>
    <w:rsid w:val="005226D9"/>
    <w:rsid w:val="00522D7A"/>
    <w:rsid w:val="00522EDE"/>
    <w:rsid w:val="00522F5B"/>
    <w:rsid w:val="00523B8C"/>
    <w:rsid w:val="00524540"/>
    <w:rsid w:val="005251C0"/>
    <w:rsid w:val="00525D63"/>
    <w:rsid w:val="0052623B"/>
    <w:rsid w:val="00527827"/>
    <w:rsid w:val="005278F6"/>
    <w:rsid w:val="00530774"/>
    <w:rsid w:val="00530A39"/>
    <w:rsid w:val="00530D49"/>
    <w:rsid w:val="00532415"/>
    <w:rsid w:val="00532C35"/>
    <w:rsid w:val="00533B8E"/>
    <w:rsid w:val="00534288"/>
    <w:rsid w:val="00534937"/>
    <w:rsid w:val="00534B76"/>
    <w:rsid w:val="00534CE6"/>
    <w:rsid w:val="00535D7B"/>
    <w:rsid w:val="005366A9"/>
    <w:rsid w:val="0053672B"/>
    <w:rsid w:val="00536C5B"/>
    <w:rsid w:val="00536E02"/>
    <w:rsid w:val="00537287"/>
    <w:rsid w:val="00537820"/>
    <w:rsid w:val="00537BA1"/>
    <w:rsid w:val="00540CE0"/>
    <w:rsid w:val="005418C4"/>
    <w:rsid w:val="00542729"/>
    <w:rsid w:val="00543807"/>
    <w:rsid w:val="00544A04"/>
    <w:rsid w:val="00544BC1"/>
    <w:rsid w:val="00544CC1"/>
    <w:rsid w:val="0054548B"/>
    <w:rsid w:val="005455EF"/>
    <w:rsid w:val="00546E7A"/>
    <w:rsid w:val="00546FA1"/>
    <w:rsid w:val="005473B9"/>
    <w:rsid w:val="00547AC7"/>
    <w:rsid w:val="0055181B"/>
    <w:rsid w:val="005523DF"/>
    <w:rsid w:val="00552E5D"/>
    <w:rsid w:val="00552F03"/>
    <w:rsid w:val="00553B88"/>
    <w:rsid w:val="00553FF9"/>
    <w:rsid w:val="00554062"/>
    <w:rsid w:val="00554234"/>
    <w:rsid w:val="00554616"/>
    <w:rsid w:val="00554927"/>
    <w:rsid w:val="0055501F"/>
    <w:rsid w:val="00555A61"/>
    <w:rsid w:val="005578DB"/>
    <w:rsid w:val="00557A09"/>
    <w:rsid w:val="00557B8C"/>
    <w:rsid w:val="00557D1A"/>
    <w:rsid w:val="0056058D"/>
    <w:rsid w:val="0056085F"/>
    <w:rsid w:val="00560B90"/>
    <w:rsid w:val="0056181E"/>
    <w:rsid w:val="00561A2A"/>
    <w:rsid w:val="0056318E"/>
    <w:rsid w:val="00563742"/>
    <w:rsid w:val="0056381C"/>
    <w:rsid w:val="00563D0E"/>
    <w:rsid w:val="00564282"/>
    <w:rsid w:val="005653B4"/>
    <w:rsid w:val="00565DED"/>
    <w:rsid w:val="005662C1"/>
    <w:rsid w:val="00566722"/>
    <w:rsid w:val="00566D80"/>
    <w:rsid w:val="00566E83"/>
    <w:rsid w:val="0056733F"/>
    <w:rsid w:val="005675FF"/>
    <w:rsid w:val="00567914"/>
    <w:rsid w:val="00567D81"/>
    <w:rsid w:val="005701C0"/>
    <w:rsid w:val="00570A8C"/>
    <w:rsid w:val="00570E3E"/>
    <w:rsid w:val="0057134D"/>
    <w:rsid w:val="005717A3"/>
    <w:rsid w:val="00571CBE"/>
    <w:rsid w:val="00571F4C"/>
    <w:rsid w:val="00572462"/>
    <w:rsid w:val="00572AE8"/>
    <w:rsid w:val="00573587"/>
    <w:rsid w:val="00573FE0"/>
    <w:rsid w:val="0057437C"/>
    <w:rsid w:val="0057466A"/>
    <w:rsid w:val="00574907"/>
    <w:rsid w:val="005757C5"/>
    <w:rsid w:val="005802D5"/>
    <w:rsid w:val="005806FD"/>
    <w:rsid w:val="0058085F"/>
    <w:rsid w:val="00580D68"/>
    <w:rsid w:val="00580F07"/>
    <w:rsid w:val="00581469"/>
    <w:rsid w:val="0058258F"/>
    <w:rsid w:val="005833DF"/>
    <w:rsid w:val="00583853"/>
    <w:rsid w:val="00583899"/>
    <w:rsid w:val="00583EC9"/>
    <w:rsid w:val="00585B7B"/>
    <w:rsid w:val="005865B9"/>
    <w:rsid w:val="00586CAC"/>
    <w:rsid w:val="00592093"/>
    <w:rsid w:val="005923E1"/>
    <w:rsid w:val="00593094"/>
    <w:rsid w:val="0059345B"/>
    <w:rsid w:val="0059435D"/>
    <w:rsid w:val="00594558"/>
    <w:rsid w:val="0059535B"/>
    <w:rsid w:val="005954FA"/>
    <w:rsid w:val="005959D2"/>
    <w:rsid w:val="00596C26"/>
    <w:rsid w:val="005979F9"/>
    <w:rsid w:val="005A19B2"/>
    <w:rsid w:val="005A1D82"/>
    <w:rsid w:val="005A244C"/>
    <w:rsid w:val="005A388E"/>
    <w:rsid w:val="005A4401"/>
    <w:rsid w:val="005A44F3"/>
    <w:rsid w:val="005A54C5"/>
    <w:rsid w:val="005A626B"/>
    <w:rsid w:val="005A6692"/>
    <w:rsid w:val="005A6CEA"/>
    <w:rsid w:val="005A6DF6"/>
    <w:rsid w:val="005A6E0F"/>
    <w:rsid w:val="005A72F1"/>
    <w:rsid w:val="005A7590"/>
    <w:rsid w:val="005A7DC2"/>
    <w:rsid w:val="005B18CC"/>
    <w:rsid w:val="005B1A47"/>
    <w:rsid w:val="005B20BA"/>
    <w:rsid w:val="005B291F"/>
    <w:rsid w:val="005B29C6"/>
    <w:rsid w:val="005B3426"/>
    <w:rsid w:val="005B37AE"/>
    <w:rsid w:val="005B38A1"/>
    <w:rsid w:val="005B4D11"/>
    <w:rsid w:val="005B4F10"/>
    <w:rsid w:val="005B51BD"/>
    <w:rsid w:val="005B53C1"/>
    <w:rsid w:val="005B5C71"/>
    <w:rsid w:val="005B63E8"/>
    <w:rsid w:val="005B6B1C"/>
    <w:rsid w:val="005B70FC"/>
    <w:rsid w:val="005B796F"/>
    <w:rsid w:val="005B7EF3"/>
    <w:rsid w:val="005C0783"/>
    <w:rsid w:val="005C0B9E"/>
    <w:rsid w:val="005C0E7F"/>
    <w:rsid w:val="005C17C4"/>
    <w:rsid w:val="005C1A1B"/>
    <w:rsid w:val="005C2B22"/>
    <w:rsid w:val="005C2D15"/>
    <w:rsid w:val="005C3FD0"/>
    <w:rsid w:val="005C44AD"/>
    <w:rsid w:val="005C4CBB"/>
    <w:rsid w:val="005C526E"/>
    <w:rsid w:val="005C57C8"/>
    <w:rsid w:val="005C5AF7"/>
    <w:rsid w:val="005C6868"/>
    <w:rsid w:val="005C6B2C"/>
    <w:rsid w:val="005C70EB"/>
    <w:rsid w:val="005C718B"/>
    <w:rsid w:val="005C7A9E"/>
    <w:rsid w:val="005D1C7B"/>
    <w:rsid w:val="005D2C58"/>
    <w:rsid w:val="005D3148"/>
    <w:rsid w:val="005D47AC"/>
    <w:rsid w:val="005D58AF"/>
    <w:rsid w:val="005D5912"/>
    <w:rsid w:val="005D5F8D"/>
    <w:rsid w:val="005D5F9C"/>
    <w:rsid w:val="005D67F6"/>
    <w:rsid w:val="005D6F70"/>
    <w:rsid w:val="005D78AB"/>
    <w:rsid w:val="005E0216"/>
    <w:rsid w:val="005E02FC"/>
    <w:rsid w:val="005E0308"/>
    <w:rsid w:val="005E1483"/>
    <w:rsid w:val="005E271D"/>
    <w:rsid w:val="005E2836"/>
    <w:rsid w:val="005E2A23"/>
    <w:rsid w:val="005E2E65"/>
    <w:rsid w:val="005E339D"/>
    <w:rsid w:val="005E4509"/>
    <w:rsid w:val="005E453A"/>
    <w:rsid w:val="005E673C"/>
    <w:rsid w:val="005E6786"/>
    <w:rsid w:val="005E6E1A"/>
    <w:rsid w:val="005E74A0"/>
    <w:rsid w:val="005E763C"/>
    <w:rsid w:val="005E7951"/>
    <w:rsid w:val="005F1342"/>
    <w:rsid w:val="005F1E8C"/>
    <w:rsid w:val="005F2C2F"/>
    <w:rsid w:val="005F35CA"/>
    <w:rsid w:val="005F3FAE"/>
    <w:rsid w:val="005F5B33"/>
    <w:rsid w:val="005F66E3"/>
    <w:rsid w:val="005F73BB"/>
    <w:rsid w:val="005F7ABE"/>
    <w:rsid w:val="0060174B"/>
    <w:rsid w:val="0060203D"/>
    <w:rsid w:val="00602C20"/>
    <w:rsid w:val="0060366A"/>
    <w:rsid w:val="006037FD"/>
    <w:rsid w:val="00603B71"/>
    <w:rsid w:val="00603C00"/>
    <w:rsid w:val="00603CFE"/>
    <w:rsid w:val="00604A04"/>
    <w:rsid w:val="00604A51"/>
    <w:rsid w:val="00605282"/>
    <w:rsid w:val="00605709"/>
    <w:rsid w:val="00605D8F"/>
    <w:rsid w:val="006060AE"/>
    <w:rsid w:val="006065A9"/>
    <w:rsid w:val="00607777"/>
    <w:rsid w:val="00607C26"/>
    <w:rsid w:val="00607C36"/>
    <w:rsid w:val="006109FA"/>
    <w:rsid w:val="00610E12"/>
    <w:rsid w:val="00612457"/>
    <w:rsid w:val="00612EFD"/>
    <w:rsid w:val="00614004"/>
    <w:rsid w:val="0061598A"/>
    <w:rsid w:val="00616250"/>
    <w:rsid w:val="0061646A"/>
    <w:rsid w:val="00616814"/>
    <w:rsid w:val="00616C35"/>
    <w:rsid w:val="00616E1F"/>
    <w:rsid w:val="0061753F"/>
    <w:rsid w:val="00617BA3"/>
    <w:rsid w:val="00620388"/>
    <w:rsid w:val="00620A75"/>
    <w:rsid w:val="00621129"/>
    <w:rsid w:val="00621157"/>
    <w:rsid w:val="0062176A"/>
    <w:rsid w:val="0062223F"/>
    <w:rsid w:val="00622609"/>
    <w:rsid w:val="006227A3"/>
    <w:rsid w:val="00623558"/>
    <w:rsid w:val="00623F4D"/>
    <w:rsid w:val="006243F4"/>
    <w:rsid w:val="00625035"/>
    <w:rsid w:val="00625CDF"/>
    <w:rsid w:val="00626282"/>
    <w:rsid w:val="00626658"/>
    <w:rsid w:val="00627743"/>
    <w:rsid w:val="0062774D"/>
    <w:rsid w:val="006302C6"/>
    <w:rsid w:val="00630368"/>
    <w:rsid w:val="00630A0F"/>
    <w:rsid w:val="00631B74"/>
    <w:rsid w:val="006322CC"/>
    <w:rsid w:val="00632D85"/>
    <w:rsid w:val="00633124"/>
    <w:rsid w:val="00633144"/>
    <w:rsid w:val="00634328"/>
    <w:rsid w:val="00636FAA"/>
    <w:rsid w:val="00637261"/>
    <w:rsid w:val="00637359"/>
    <w:rsid w:val="006373C3"/>
    <w:rsid w:val="00637DB7"/>
    <w:rsid w:val="006404A6"/>
    <w:rsid w:val="00640FAD"/>
    <w:rsid w:val="0064134C"/>
    <w:rsid w:val="006413BF"/>
    <w:rsid w:val="006419B9"/>
    <w:rsid w:val="00641D71"/>
    <w:rsid w:val="00642AF0"/>
    <w:rsid w:val="00642C31"/>
    <w:rsid w:val="00642E25"/>
    <w:rsid w:val="0064375A"/>
    <w:rsid w:val="00643AE7"/>
    <w:rsid w:val="00644028"/>
    <w:rsid w:val="00644A02"/>
    <w:rsid w:val="006457C4"/>
    <w:rsid w:val="006458FF"/>
    <w:rsid w:val="00645BA0"/>
    <w:rsid w:val="00647CBE"/>
    <w:rsid w:val="006500EC"/>
    <w:rsid w:val="006513D6"/>
    <w:rsid w:val="00653181"/>
    <w:rsid w:val="00654282"/>
    <w:rsid w:val="00655B38"/>
    <w:rsid w:val="00655F2F"/>
    <w:rsid w:val="0065769E"/>
    <w:rsid w:val="006577DF"/>
    <w:rsid w:val="0065783E"/>
    <w:rsid w:val="006600DB"/>
    <w:rsid w:val="0066082A"/>
    <w:rsid w:val="00661F02"/>
    <w:rsid w:val="00662128"/>
    <w:rsid w:val="00662AAF"/>
    <w:rsid w:val="00662BEA"/>
    <w:rsid w:val="00663131"/>
    <w:rsid w:val="006632FB"/>
    <w:rsid w:val="006634B5"/>
    <w:rsid w:val="0066386C"/>
    <w:rsid w:val="00663BB7"/>
    <w:rsid w:val="00664228"/>
    <w:rsid w:val="006661D4"/>
    <w:rsid w:val="006663F9"/>
    <w:rsid w:val="006663FC"/>
    <w:rsid w:val="00666838"/>
    <w:rsid w:val="00670760"/>
    <w:rsid w:val="006708E1"/>
    <w:rsid w:val="00670B37"/>
    <w:rsid w:val="00670D7A"/>
    <w:rsid w:val="00670DBB"/>
    <w:rsid w:val="00671C6C"/>
    <w:rsid w:val="00671EEA"/>
    <w:rsid w:val="006725C1"/>
    <w:rsid w:val="00672FB8"/>
    <w:rsid w:val="00673467"/>
    <w:rsid w:val="0067410D"/>
    <w:rsid w:val="006741D0"/>
    <w:rsid w:val="00674CE7"/>
    <w:rsid w:val="0067576D"/>
    <w:rsid w:val="00675AE9"/>
    <w:rsid w:val="00675B0C"/>
    <w:rsid w:val="006761D2"/>
    <w:rsid w:val="00676DD7"/>
    <w:rsid w:val="006778F1"/>
    <w:rsid w:val="00677B45"/>
    <w:rsid w:val="00677F8D"/>
    <w:rsid w:val="00680A27"/>
    <w:rsid w:val="00680E9F"/>
    <w:rsid w:val="00681038"/>
    <w:rsid w:val="00681101"/>
    <w:rsid w:val="00681478"/>
    <w:rsid w:val="00682498"/>
    <w:rsid w:val="00682B08"/>
    <w:rsid w:val="00682D8C"/>
    <w:rsid w:val="006830EB"/>
    <w:rsid w:val="00683128"/>
    <w:rsid w:val="006832B3"/>
    <w:rsid w:val="006834E9"/>
    <w:rsid w:val="006839F9"/>
    <w:rsid w:val="00684533"/>
    <w:rsid w:val="00684C6F"/>
    <w:rsid w:val="0068566D"/>
    <w:rsid w:val="00685702"/>
    <w:rsid w:val="0068586C"/>
    <w:rsid w:val="00686061"/>
    <w:rsid w:val="006861B5"/>
    <w:rsid w:val="00686CDA"/>
    <w:rsid w:val="00687ACD"/>
    <w:rsid w:val="00690109"/>
    <w:rsid w:val="006903C0"/>
    <w:rsid w:val="00690557"/>
    <w:rsid w:val="006912AB"/>
    <w:rsid w:val="006913B4"/>
    <w:rsid w:val="0069155A"/>
    <w:rsid w:val="00691DF7"/>
    <w:rsid w:val="0069241F"/>
    <w:rsid w:val="00692DAD"/>
    <w:rsid w:val="006930CE"/>
    <w:rsid w:val="00693394"/>
    <w:rsid w:val="006934F8"/>
    <w:rsid w:val="00694B0E"/>
    <w:rsid w:val="00695039"/>
    <w:rsid w:val="0069509A"/>
    <w:rsid w:val="00695F37"/>
    <w:rsid w:val="0069632E"/>
    <w:rsid w:val="00696979"/>
    <w:rsid w:val="006A015F"/>
    <w:rsid w:val="006A07C6"/>
    <w:rsid w:val="006A1AA1"/>
    <w:rsid w:val="006A1AC5"/>
    <w:rsid w:val="006A25CC"/>
    <w:rsid w:val="006A2923"/>
    <w:rsid w:val="006A2BDA"/>
    <w:rsid w:val="006A39C6"/>
    <w:rsid w:val="006A3C6C"/>
    <w:rsid w:val="006A5278"/>
    <w:rsid w:val="006A57F8"/>
    <w:rsid w:val="006A5A96"/>
    <w:rsid w:val="006A659E"/>
    <w:rsid w:val="006A684F"/>
    <w:rsid w:val="006A7443"/>
    <w:rsid w:val="006A78EE"/>
    <w:rsid w:val="006B0997"/>
    <w:rsid w:val="006B0EEC"/>
    <w:rsid w:val="006B2965"/>
    <w:rsid w:val="006B2C06"/>
    <w:rsid w:val="006B4812"/>
    <w:rsid w:val="006B4A87"/>
    <w:rsid w:val="006B5DC1"/>
    <w:rsid w:val="006B6607"/>
    <w:rsid w:val="006B762F"/>
    <w:rsid w:val="006B7DD6"/>
    <w:rsid w:val="006C0B66"/>
    <w:rsid w:val="006C13DA"/>
    <w:rsid w:val="006C264D"/>
    <w:rsid w:val="006C32DF"/>
    <w:rsid w:val="006C34C6"/>
    <w:rsid w:val="006C56CD"/>
    <w:rsid w:val="006C5FAF"/>
    <w:rsid w:val="006C62D1"/>
    <w:rsid w:val="006C7928"/>
    <w:rsid w:val="006D042E"/>
    <w:rsid w:val="006D0612"/>
    <w:rsid w:val="006D084F"/>
    <w:rsid w:val="006D1943"/>
    <w:rsid w:val="006D2263"/>
    <w:rsid w:val="006D296C"/>
    <w:rsid w:val="006D2AF6"/>
    <w:rsid w:val="006D2BD4"/>
    <w:rsid w:val="006D35F6"/>
    <w:rsid w:val="006D3FB6"/>
    <w:rsid w:val="006D5EB7"/>
    <w:rsid w:val="006D5FEA"/>
    <w:rsid w:val="006D61AC"/>
    <w:rsid w:val="006D7677"/>
    <w:rsid w:val="006D7AC1"/>
    <w:rsid w:val="006E0573"/>
    <w:rsid w:val="006E06CA"/>
    <w:rsid w:val="006E14CC"/>
    <w:rsid w:val="006E1D0B"/>
    <w:rsid w:val="006E1DB7"/>
    <w:rsid w:val="006E3176"/>
    <w:rsid w:val="006E33EE"/>
    <w:rsid w:val="006E3B0C"/>
    <w:rsid w:val="006E48E9"/>
    <w:rsid w:val="006E4A0B"/>
    <w:rsid w:val="006E5CAD"/>
    <w:rsid w:val="006E64C7"/>
    <w:rsid w:val="006E721C"/>
    <w:rsid w:val="006E78A0"/>
    <w:rsid w:val="006E7A88"/>
    <w:rsid w:val="006E7FDB"/>
    <w:rsid w:val="006F08F8"/>
    <w:rsid w:val="006F093B"/>
    <w:rsid w:val="006F0B43"/>
    <w:rsid w:val="006F0CA6"/>
    <w:rsid w:val="006F29EC"/>
    <w:rsid w:val="006F3D40"/>
    <w:rsid w:val="006F4D91"/>
    <w:rsid w:val="006F4DD2"/>
    <w:rsid w:val="006F7484"/>
    <w:rsid w:val="006F7863"/>
    <w:rsid w:val="006F7E6C"/>
    <w:rsid w:val="006F7E8E"/>
    <w:rsid w:val="007002DF"/>
    <w:rsid w:val="00700B8B"/>
    <w:rsid w:val="00701260"/>
    <w:rsid w:val="00701FE0"/>
    <w:rsid w:val="00702149"/>
    <w:rsid w:val="007034B4"/>
    <w:rsid w:val="007038A4"/>
    <w:rsid w:val="00703D22"/>
    <w:rsid w:val="007042D9"/>
    <w:rsid w:val="00704425"/>
    <w:rsid w:val="00704B70"/>
    <w:rsid w:val="007054B5"/>
    <w:rsid w:val="0070605A"/>
    <w:rsid w:val="00706F24"/>
    <w:rsid w:val="00707DA1"/>
    <w:rsid w:val="00707E7F"/>
    <w:rsid w:val="00711BE0"/>
    <w:rsid w:val="0071209C"/>
    <w:rsid w:val="00712755"/>
    <w:rsid w:val="007131A5"/>
    <w:rsid w:val="007131C8"/>
    <w:rsid w:val="007135C5"/>
    <w:rsid w:val="00713DEC"/>
    <w:rsid w:val="00715720"/>
    <w:rsid w:val="0071599F"/>
    <w:rsid w:val="00716572"/>
    <w:rsid w:val="00716AFB"/>
    <w:rsid w:val="00717818"/>
    <w:rsid w:val="0072134A"/>
    <w:rsid w:val="00721558"/>
    <w:rsid w:val="00722C8E"/>
    <w:rsid w:val="00723DC4"/>
    <w:rsid w:val="00723E5F"/>
    <w:rsid w:val="007245E1"/>
    <w:rsid w:val="00725031"/>
    <w:rsid w:val="00725A9B"/>
    <w:rsid w:val="007279CE"/>
    <w:rsid w:val="00730964"/>
    <w:rsid w:val="00730DEC"/>
    <w:rsid w:val="00730E8B"/>
    <w:rsid w:val="00731050"/>
    <w:rsid w:val="007319C3"/>
    <w:rsid w:val="007334CA"/>
    <w:rsid w:val="007342A5"/>
    <w:rsid w:val="00735152"/>
    <w:rsid w:val="00735264"/>
    <w:rsid w:val="00735487"/>
    <w:rsid w:val="007355A3"/>
    <w:rsid w:val="00737D7F"/>
    <w:rsid w:val="00740E4E"/>
    <w:rsid w:val="0074109C"/>
    <w:rsid w:val="007426D9"/>
    <w:rsid w:val="00743BAB"/>
    <w:rsid w:val="0074458C"/>
    <w:rsid w:val="00744A03"/>
    <w:rsid w:val="00744E3D"/>
    <w:rsid w:val="007451FB"/>
    <w:rsid w:val="007459FE"/>
    <w:rsid w:val="00745FAC"/>
    <w:rsid w:val="007466D7"/>
    <w:rsid w:val="00747463"/>
    <w:rsid w:val="00747A4D"/>
    <w:rsid w:val="00750678"/>
    <w:rsid w:val="00751E82"/>
    <w:rsid w:val="00752247"/>
    <w:rsid w:val="007529CE"/>
    <w:rsid w:val="007566A6"/>
    <w:rsid w:val="00757620"/>
    <w:rsid w:val="0076037D"/>
    <w:rsid w:val="00760538"/>
    <w:rsid w:val="007605A2"/>
    <w:rsid w:val="0076122F"/>
    <w:rsid w:val="007619F7"/>
    <w:rsid w:val="00762347"/>
    <w:rsid w:val="00762B3B"/>
    <w:rsid w:val="00763F69"/>
    <w:rsid w:val="00765A27"/>
    <w:rsid w:val="007660FF"/>
    <w:rsid w:val="0076694A"/>
    <w:rsid w:val="00766CDA"/>
    <w:rsid w:val="00767610"/>
    <w:rsid w:val="00770623"/>
    <w:rsid w:val="0077073A"/>
    <w:rsid w:val="00770DC1"/>
    <w:rsid w:val="00770E6E"/>
    <w:rsid w:val="00771078"/>
    <w:rsid w:val="0077137A"/>
    <w:rsid w:val="00772549"/>
    <w:rsid w:val="007735A7"/>
    <w:rsid w:val="00773F45"/>
    <w:rsid w:val="00773F9B"/>
    <w:rsid w:val="00774A4F"/>
    <w:rsid w:val="00775C92"/>
    <w:rsid w:val="00775DB1"/>
    <w:rsid w:val="00780707"/>
    <w:rsid w:val="00780C19"/>
    <w:rsid w:val="0078116D"/>
    <w:rsid w:val="007813B1"/>
    <w:rsid w:val="007825A4"/>
    <w:rsid w:val="007832AF"/>
    <w:rsid w:val="0078395B"/>
    <w:rsid w:val="00784D25"/>
    <w:rsid w:val="007855B5"/>
    <w:rsid w:val="007869ED"/>
    <w:rsid w:val="00786A60"/>
    <w:rsid w:val="00786FBD"/>
    <w:rsid w:val="00787571"/>
    <w:rsid w:val="007902A4"/>
    <w:rsid w:val="0079125E"/>
    <w:rsid w:val="0079169B"/>
    <w:rsid w:val="00792089"/>
    <w:rsid w:val="007923A3"/>
    <w:rsid w:val="00792928"/>
    <w:rsid w:val="00792C62"/>
    <w:rsid w:val="007958A5"/>
    <w:rsid w:val="007965CE"/>
    <w:rsid w:val="007A0094"/>
    <w:rsid w:val="007A0237"/>
    <w:rsid w:val="007A0D51"/>
    <w:rsid w:val="007A0FA3"/>
    <w:rsid w:val="007A0FAB"/>
    <w:rsid w:val="007A18A2"/>
    <w:rsid w:val="007A1FA8"/>
    <w:rsid w:val="007A226C"/>
    <w:rsid w:val="007A2BAC"/>
    <w:rsid w:val="007A38D5"/>
    <w:rsid w:val="007A3F76"/>
    <w:rsid w:val="007A4D87"/>
    <w:rsid w:val="007A613A"/>
    <w:rsid w:val="007A741C"/>
    <w:rsid w:val="007A79FF"/>
    <w:rsid w:val="007B05AE"/>
    <w:rsid w:val="007B0B27"/>
    <w:rsid w:val="007B20D9"/>
    <w:rsid w:val="007B219E"/>
    <w:rsid w:val="007B2F52"/>
    <w:rsid w:val="007B2F7B"/>
    <w:rsid w:val="007B3BA5"/>
    <w:rsid w:val="007B4B80"/>
    <w:rsid w:val="007B4BC4"/>
    <w:rsid w:val="007B4E52"/>
    <w:rsid w:val="007B7663"/>
    <w:rsid w:val="007B78B2"/>
    <w:rsid w:val="007B7939"/>
    <w:rsid w:val="007B796A"/>
    <w:rsid w:val="007C0287"/>
    <w:rsid w:val="007C04A3"/>
    <w:rsid w:val="007C0755"/>
    <w:rsid w:val="007C1454"/>
    <w:rsid w:val="007C1733"/>
    <w:rsid w:val="007C180E"/>
    <w:rsid w:val="007C2929"/>
    <w:rsid w:val="007C2B63"/>
    <w:rsid w:val="007C2B66"/>
    <w:rsid w:val="007C4B93"/>
    <w:rsid w:val="007C4CC8"/>
    <w:rsid w:val="007C51C9"/>
    <w:rsid w:val="007C5CED"/>
    <w:rsid w:val="007C69EE"/>
    <w:rsid w:val="007C7477"/>
    <w:rsid w:val="007C777A"/>
    <w:rsid w:val="007C7F2E"/>
    <w:rsid w:val="007D0579"/>
    <w:rsid w:val="007D066C"/>
    <w:rsid w:val="007D0709"/>
    <w:rsid w:val="007D0EF1"/>
    <w:rsid w:val="007D18D2"/>
    <w:rsid w:val="007D21C1"/>
    <w:rsid w:val="007D24F4"/>
    <w:rsid w:val="007D2BC1"/>
    <w:rsid w:val="007D2BFC"/>
    <w:rsid w:val="007D321F"/>
    <w:rsid w:val="007D340F"/>
    <w:rsid w:val="007D38BD"/>
    <w:rsid w:val="007D4BF2"/>
    <w:rsid w:val="007D5828"/>
    <w:rsid w:val="007D5C04"/>
    <w:rsid w:val="007D5D76"/>
    <w:rsid w:val="007D6762"/>
    <w:rsid w:val="007D6944"/>
    <w:rsid w:val="007D6F84"/>
    <w:rsid w:val="007D7325"/>
    <w:rsid w:val="007D7603"/>
    <w:rsid w:val="007D7682"/>
    <w:rsid w:val="007D7806"/>
    <w:rsid w:val="007E05E1"/>
    <w:rsid w:val="007E0AE2"/>
    <w:rsid w:val="007E236D"/>
    <w:rsid w:val="007E4DB9"/>
    <w:rsid w:val="007E5084"/>
    <w:rsid w:val="007E5442"/>
    <w:rsid w:val="007E56F4"/>
    <w:rsid w:val="007E6018"/>
    <w:rsid w:val="007E6DA2"/>
    <w:rsid w:val="007E74BE"/>
    <w:rsid w:val="007F1866"/>
    <w:rsid w:val="007F1FAC"/>
    <w:rsid w:val="007F20D2"/>
    <w:rsid w:val="007F2F06"/>
    <w:rsid w:val="007F3279"/>
    <w:rsid w:val="007F3371"/>
    <w:rsid w:val="007F3545"/>
    <w:rsid w:val="007F364F"/>
    <w:rsid w:val="007F47AF"/>
    <w:rsid w:val="007F4A7E"/>
    <w:rsid w:val="007F5C51"/>
    <w:rsid w:val="007F6067"/>
    <w:rsid w:val="007F6B2A"/>
    <w:rsid w:val="0080030B"/>
    <w:rsid w:val="00801BC0"/>
    <w:rsid w:val="008024A6"/>
    <w:rsid w:val="00802CAE"/>
    <w:rsid w:val="00803386"/>
    <w:rsid w:val="008042B5"/>
    <w:rsid w:val="008046BA"/>
    <w:rsid w:val="008050F2"/>
    <w:rsid w:val="008066EE"/>
    <w:rsid w:val="00807195"/>
    <w:rsid w:val="00807E9F"/>
    <w:rsid w:val="0081068B"/>
    <w:rsid w:val="00811004"/>
    <w:rsid w:val="00812E24"/>
    <w:rsid w:val="00812EE5"/>
    <w:rsid w:val="00817018"/>
    <w:rsid w:val="00817818"/>
    <w:rsid w:val="00820600"/>
    <w:rsid w:val="00820799"/>
    <w:rsid w:val="00820AD9"/>
    <w:rsid w:val="00820E74"/>
    <w:rsid w:val="008214E7"/>
    <w:rsid w:val="00821CE9"/>
    <w:rsid w:val="008221AE"/>
    <w:rsid w:val="0082249F"/>
    <w:rsid w:val="00822724"/>
    <w:rsid w:val="008227A1"/>
    <w:rsid w:val="00822F4A"/>
    <w:rsid w:val="008237B8"/>
    <w:rsid w:val="00824032"/>
    <w:rsid w:val="00825407"/>
    <w:rsid w:val="00826FD1"/>
    <w:rsid w:val="008278C4"/>
    <w:rsid w:val="00827DBD"/>
    <w:rsid w:val="00831173"/>
    <w:rsid w:val="00831B29"/>
    <w:rsid w:val="00831EC4"/>
    <w:rsid w:val="00832353"/>
    <w:rsid w:val="008328F1"/>
    <w:rsid w:val="0083327A"/>
    <w:rsid w:val="00833459"/>
    <w:rsid w:val="00834BD6"/>
    <w:rsid w:val="00834C37"/>
    <w:rsid w:val="0083537A"/>
    <w:rsid w:val="0083569D"/>
    <w:rsid w:val="00836A9A"/>
    <w:rsid w:val="00836C92"/>
    <w:rsid w:val="0083735E"/>
    <w:rsid w:val="00837C76"/>
    <w:rsid w:val="00840862"/>
    <w:rsid w:val="00840DAA"/>
    <w:rsid w:val="0084154D"/>
    <w:rsid w:val="008415FC"/>
    <w:rsid w:val="008418F8"/>
    <w:rsid w:val="008427F5"/>
    <w:rsid w:val="00842B67"/>
    <w:rsid w:val="0084428C"/>
    <w:rsid w:val="00844F04"/>
    <w:rsid w:val="00845285"/>
    <w:rsid w:val="00845754"/>
    <w:rsid w:val="00845AB7"/>
    <w:rsid w:val="00845E1B"/>
    <w:rsid w:val="008465A2"/>
    <w:rsid w:val="008466D7"/>
    <w:rsid w:val="00847510"/>
    <w:rsid w:val="0085098C"/>
    <w:rsid w:val="0085168A"/>
    <w:rsid w:val="00851B2A"/>
    <w:rsid w:val="00851E46"/>
    <w:rsid w:val="00852D4F"/>
    <w:rsid w:val="00852E79"/>
    <w:rsid w:val="008540F0"/>
    <w:rsid w:val="00854FC6"/>
    <w:rsid w:val="008550DF"/>
    <w:rsid w:val="00855657"/>
    <w:rsid w:val="008558FC"/>
    <w:rsid w:val="00856419"/>
    <w:rsid w:val="00857A70"/>
    <w:rsid w:val="00857D3B"/>
    <w:rsid w:val="00857F0B"/>
    <w:rsid w:val="00860AF6"/>
    <w:rsid w:val="00860EAB"/>
    <w:rsid w:val="00860F8A"/>
    <w:rsid w:val="00861285"/>
    <w:rsid w:val="0086139A"/>
    <w:rsid w:val="0086265E"/>
    <w:rsid w:val="008626B8"/>
    <w:rsid w:val="0086275B"/>
    <w:rsid w:val="00862DDA"/>
    <w:rsid w:val="00863384"/>
    <w:rsid w:val="00863947"/>
    <w:rsid w:val="0086469D"/>
    <w:rsid w:val="00865AA9"/>
    <w:rsid w:val="0086647E"/>
    <w:rsid w:val="00867998"/>
    <w:rsid w:val="008713D9"/>
    <w:rsid w:val="008724F6"/>
    <w:rsid w:val="00873608"/>
    <w:rsid w:val="0087662D"/>
    <w:rsid w:val="0087690A"/>
    <w:rsid w:val="00876E52"/>
    <w:rsid w:val="008777EA"/>
    <w:rsid w:val="00877B27"/>
    <w:rsid w:val="00880064"/>
    <w:rsid w:val="008807E4"/>
    <w:rsid w:val="00880F31"/>
    <w:rsid w:val="00880FBF"/>
    <w:rsid w:val="00881ED8"/>
    <w:rsid w:val="008827B2"/>
    <w:rsid w:val="008828E4"/>
    <w:rsid w:val="00883728"/>
    <w:rsid w:val="00883779"/>
    <w:rsid w:val="00884A03"/>
    <w:rsid w:val="008853E5"/>
    <w:rsid w:val="00885434"/>
    <w:rsid w:val="008855FA"/>
    <w:rsid w:val="0088617C"/>
    <w:rsid w:val="00887AA2"/>
    <w:rsid w:val="008903D9"/>
    <w:rsid w:val="00890A05"/>
    <w:rsid w:val="00890FB9"/>
    <w:rsid w:val="0089115C"/>
    <w:rsid w:val="0089118E"/>
    <w:rsid w:val="00891F38"/>
    <w:rsid w:val="008927F4"/>
    <w:rsid w:val="00892CB9"/>
    <w:rsid w:val="00893465"/>
    <w:rsid w:val="00893708"/>
    <w:rsid w:val="00894694"/>
    <w:rsid w:val="0089523C"/>
    <w:rsid w:val="0089568C"/>
    <w:rsid w:val="00895923"/>
    <w:rsid w:val="00895A58"/>
    <w:rsid w:val="00896E86"/>
    <w:rsid w:val="0089756E"/>
    <w:rsid w:val="008A0357"/>
    <w:rsid w:val="008A30D3"/>
    <w:rsid w:val="008A334A"/>
    <w:rsid w:val="008A4521"/>
    <w:rsid w:val="008A4654"/>
    <w:rsid w:val="008A4CCA"/>
    <w:rsid w:val="008A521C"/>
    <w:rsid w:val="008A559C"/>
    <w:rsid w:val="008A55FF"/>
    <w:rsid w:val="008A58AB"/>
    <w:rsid w:val="008A5F67"/>
    <w:rsid w:val="008A695F"/>
    <w:rsid w:val="008A6C36"/>
    <w:rsid w:val="008A7345"/>
    <w:rsid w:val="008A7D89"/>
    <w:rsid w:val="008A7F7B"/>
    <w:rsid w:val="008B0A85"/>
    <w:rsid w:val="008B0C82"/>
    <w:rsid w:val="008B0FA6"/>
    <w:rsid w:val="008B1170"/>
    <w:rsid w:val="008B1CCC"/>
    <w:rsid w:val="008B1E70"/>
    <w:rsid w:val="008B2AAE"/>
    <w:rsid w:val="008B4712"/>
    <w:rsid w:val="008B48CC"/>
    <w:rsid w:val="008B6183"/>
    <w:rsid w:val="008B7172"/>
    <w:rsid w:val="008C098A"/>
    <w:rsid w:val="008C21F2"/>
    <w:rsid w:val="008C2234"/>
    <w:rsid w:val="008C3D94"/>
    <w:rsid w:val="008C3F76"/>
    <w:rsid w:val="008C413A"/>
    <w:rsid w:val="008C4389"/>
    <w:rsid w:val="008C46EE"/>
    <w:rsid w:val="008C4A49"/>
    <w:rsid w:val="008C4C70"/>
    <w:rsid w:val="008C5AAF"/>
    <w:rsid w:val="008C6193"/>
    <w:rsid w:val="008C6DC3"/>
    <w:rsid w:val="008C6E65"/>
    <w:rsid w:val="008C751A"/>
    <w:rsid w:val="008C7A9E"/>
    <w:rsid w:val="008C7E86"/>
    <w:rsid w:val="008D0230"/>
    <w:rsid w:val="008D0E6A"/>
    <w:rsid w:val="008D0ECC"/>
    <w:rsid w:val="008D1604"/>
    <w:rsid w:val="008D1801"/>
    <w:rsid w:val="008D1E8B"/>
    <w:rsid w:val="008D2208"/>
    <w:rsid w:val="008D264E"/>
    <w:rsid w:val="008D4314"/>
    <w:rsid w:val="008D7DE6"/>
    <w:rsid w:val="008E02A3"/>
    <w:rsid w:val="008E02BF"/>
    <w:rsid w:val="008E0FC2"/>
    <w:rsid w:val="008E1419"/>
    <w:rsid w:val="008E1E91"/>
    <w:rsid w:val="008E212B"/>
    <w:rsid w:val="008E38D6"/>
    <w:rsid w:val="008E3C45"/>
    <w:rsid w:val="008E49EB"/>
    <w:rsid w:val="008E50C6"/>
    <w:rsid w:val="008E5186"/>
    <w:rsid w:val="008E585F"/>
    <w:rsid w:val="008E6A8A"/>
    <w:rsid w:val="008E6FC6"/>
    <w:rsid w:val="008E71E4"/>
    <w:rsid w:val="008E771A"/>
    <w:rsid w:val="008E7A1B"/>
    <w:rsid w:val="008F0162"/>
    <w:rsid w:val="008F0615"/>
    <w:rsid w:val="008F0A02"/>
    <w:rsid w:val="008F0E5F"/>
    <w:rsid w:val="008F21FA"/>
    <w:rsid w:val="008F2FD6"/>
    <w:rsid w:val="008F317B"/>
    <w:rsid w:val="008F639E"/>
    <w:rsid w:val="008F65B0"/>
    <w:rsid w:val="008F6772"/>
    <w:rsid w:val="008F7105"/>
    <w:rsid w:val="008F78D0"/>
    <w:rsid w:val="0090050E"/>
    <w:rsid w:val="0090084B"/>
    <w:rsid w:val="00901611"/>
    <w:rsid w:val="009022E9"/>
    <w:rsid w:val="009023F6"/>
    <w:rsid w:val="009025E5"/>
    <w:rsid w:val="0090285F"/>
    <w:rsid w:val="00904690"/>
    <w:rsid w:val="00905A86"/>
    <w:rsid w:val="00905C53"/>
    <w:rsid w:val="009064B4"/>
    <w:rsid w:val="00907BB2"/>
    <w:rsid w:val="009101E6"/>
    <w:rsid w:val="00911CBC"/>
    <w:rsid w:val="00911F4D"/>
    <w:rsid w:val="009125DD"/>
    <w:rsid w:val="00913315"/>
    <w:rsid w:val="00913665"/>
    <w:rsid w:val="0091367B"/>
    <w:rsid w:val="00913E49"/>
    <w:rsid w:val="0091407B"/>
    <w:rsid w:val="0091497B"/>
    <w:rsid w:val="00914B37"/>
    <w:rsid w:val="00914D68"/>
    <w:rsid w:val="009155A4"/>
    <w:rsid w:val="00915762"/>
    <w:rsid w:val="00915A10"/>
    <w:rsid w:val="00916B86"/>
    <w:rsid w:val="009177CB"/>
    <w:rsid w:val="00917FCF"/>
    <w:rsid w:val="009204D3"/>
    <w:rsid w:val="00920844"/>
    <w:rsid w:val="0092147B"/>
    <w:rsid w:val="00921728"/>
    <w:rsid w:val="00921D94"/>
    <w:rsid w:val="009222FB"/>
    <w:rsid w:val="00922545"/>
    <w:rsid w:val="00922B24"/>
    <w:rsid w:val="00923D64"/>
    <w:rsid w:val="00923E7F"/>
    <w:rsid w:val="00924CCC"/>
    <w:rsid w:val="0092612B"/>
    <w:rsid w:val="0092625D"/>
    <w:rsid w:val="00926459"/>
    <w:rsid w:val="0092696B"/>
    <w:rsid w:val="0092727E"/>
    <w:rsid w:val="00927FC3"/>
    <w:rsid w:val="00931A6F"/>
    <w:rsid w:val="009322C7"/>
    <w:rsid w:val="0093293F"/>
    <w:rsid w:val="00932FBB"/>
    <w:rsid w:val="00933885"/>
    <w:rsid w:val="00933C71"/>
    <w:rsid w:val="0093419C"/>
    <w:rsid w:val="00934DC0"/>
    <w:rsid w:val="009354DF"/>
    <w:rsid w:val="009358D7"/>
    <w:rsid w:val="00935F57"/>
    <w:rsid w:val="00935FDE"/>
    <w:rsid w:val="00937019"/>
    <w:rsid w:val="009403F8"/>
    <w:rsid w:val="00941115"/>
    <w:rsid w:val="00941478"/>
    <w:rsid w:val="00941A76"/>
    <w:rsid w:val="00941D80"/>
    <w:rsid w:val="0094203C"/>
    <w:rsid w:val="00943561"/>
    <w:rsid w:val="00943600"/>
    <w:rsid w:val="009438F9"/>
    <w:rsid w:val="0094429D"/>
    <w:rsid w:val="00944C51"/>
    <w:rsid w:val="0094580E"/>
    <w:rsid w:val="00946972"/>
    <w:rsid w:val="00947A6A"/>
    <w:rsid w:val="00947AF6"/>
    <w:rsid w:val="0095070B"/>
    <w:rsid w:val="00951074"/>
    <w:rsid w:val="00951A26"/>
    <w:rsid w:val="00951E6D"/>
    <w:rsid w:val="00952331"/>
    <w:rsid w:val="009523B5"/>
    <w:rsid w:val="00953BB8"/>
    <w:rsid w:val="00953F92"/>
    <w:rsid w:val="00954237"/>
    <w:rsid w:val="009546F2"/>
    <w:rsid w:val="0095489B"/>
    <w:rsid w:val="0095489F"/>
    <w:rsid w:val="009549F5"/>
    <w:rsid w:val="00954BA3"/>
    <w:rsid w:val="00954FD1"/>
    <w:rsid w:val="009554CE"/>
    <w:rsid w:val="00956178"/>
    <w:rsid w:val="00956E5F"/>
    <w:rsid w:val="00957F01"/>
    <w:rsid w:val="009604F7"/>
    <w:rsid w:val="009613F8"/>
    <w:rsid w:val="00961437"/>
    <w:rsid w:val="00961473"/>
    <w:rsid w:val="0096149C"/>
    <w:rsid w:val="00961E6F"/>
    <w:rsid w:val="00961EB8"/>
    <w:rsid w:val="009622AA"/>
    <w:rsid w:val="00963851"/>
    <w:rsid w:val="00963D4E"/>
    <w:rsid w:val="00964017"/>
    <w:rsid w:val="00964AB5"/>
    <w:rsid w:val="00964EA3"/>
    <w:rsid w:val="00965711"/>
    <w:rsid w:val="00965750"/>
    <w:rsid w:val="0096591F"/>
    <w:rsid w:val="00966148"/>
    <w:rsid w:val="009704D9"/>
    <w:rsid w:val="00970815"/>
    <w:rsid w:val="009713AD"/>
    <w:rsid w:val="00971889"/>
    <w:rsid w:val="00971A2F"/>
    <w:rsid w:val="00973657"/>
    <w:rsid w:val="009740B3"/>
    <w:rsid w:val="00974895"/>
    <w:rsid w:val="009748FA"/>
    <w:rsid w:val="00974DA0"/>
    <w:rsid w:val="00974DD2"/>
    <w:rsid w:val="00974E04"/>
    <w:rsid w:val="00976DD3"/>
    <w:rsid w:val="009772AD"/>
    <w:rsid w:val="00977886"/>
    <w:rsid w:val="00977EBA"/>
    <w:rsid w:val="0098161A"/>
    <w:rsid w:val="00981758"/>
    <w:rsid w:val="009819EA"/>
    <w:rsid w:val="009846DF"/>
    <w:rsid w:val="00984BB8"/>
    <w:rsid w:val="00984F03"/>
    <w:rsid w:val="00985175"/>
    <w:rsid w:val="00985906"/>
    <w:rsid w:val="00985908"/>
    <w:rsid w:val="00985A2A"/>
    <w:rsid w:val="00985B52"/>
    <w:rsid w:val="00985D39"/>
    <w:rsid w:val="00986123"/>
    <w:rsid w:val="00986BF0"/>
    <w:rsid w:val="00987681"/>
    <w:rsid w:val="00987BDA"/>
    <w:rsid w:val="00987F47"/>
    <w:rsid w:val="0099030D"/>
    <w:rsid w:val="009903B2"/>
    <w:rsid w:val="00990C9A"/>
    <w:rsid w:val="00990D40"/>
    <w:rsid w:val="0099216F"/>
    <w:rsid w:val="00992C00"/>
    <w:rsid w:val="00994121"/>
    <w:rsid w:val="009941F6"/>
    <w:rsid w:val="00994FA4"/>
    <w:rsid w:val="009950E0"/>
    <w:rsid w:val="009950EF"/>
    <w:rsid w:val="00995CA5"/>
    <w:rsid w:val="00995F2A"/>
    <w:rsid w:val="0099730A"/>
    <w:rsid w:val="009976CE"/>
    <w:rsid w:val="009A010D"/>
    <w:rsid w:val="009A0124"/>
    <w:rsid w:val="009A0717"/>
    <w:rsid w:val="009A07FA"/>
    <w:rsid w:val="009A0A34"/>
    <w:rsid w:val="009A0BF6"/>
    <w:rsid w:val="009A1362"/>
    <w:rsid w:val="009A1650"/>
    <w:rsid w:val="009A165E"/>
    <w:rsid w:val="009A3D29"/>
    <w:rsid w:val="009A4211"/>
    <w:rsid w:val="009A53C3"/>
    <w:rsid w:val="009A5B6E"/>
    <w:rsid w:val="009A66E6"/>
    <w:rsid w:val="009A6C91"/>
    <w:rsid w:val="009A721E"/>
    <w:rsid w:val="009A7695"/>
    <w:rsid w:val="009A774A"/>
    <w:rsid w:val="009A7B22"/>
    <w:rsid w:val="009A7C30"/>
    <w:rsid w:val="009B0089"/>
    <w:rsid w:val="009B00C4"/>
    <w:rsid w:val="009B01D9"/>
    <w:rsid w:val="009B0238"/>
    <w:rsid w:val="009B3D91"/>
    <w:rsid w:val="009B3E48"/>
    <w:rsid w:val="009B601E"/>
    <w:rsid w:val="009B7570"/>
    <w:rsid w:val="009B77D6"/>
    <w:rsid w:val="009C045D"/>
    <w:rsid w:val="009C1AD3"/>
    <w:rsid w:val="009C25F1"/>
    <w:rsid w:val="009C27AF"/>
    <w:rsid w:val="009C30E6"/>
    <w:rsid w:val="009C4EA5"/>
    <w:rsid w:val="009C6E30"/>
    <w:rsid w:val="009C6F19"/>
    <w:rsid w:val="009C7655"/>
    <w:rsid w:val="009D0B1D"/>
    <w:rsid w:val="009D111F"/>
    <w:rsid w:val="009D1741"/>
    <w:rsid w:val="009D4225"/>
    <w:rsid w:val="009D6E1F"/>
    <w:rsid w:val="009E13B8"/>
    <w:rsid w:val="009E1810"/>
    <w:rsid w:val="009E1C88"/>
    <w:rsid w:val="009E2076"/>
    <w:rsid w:val="009E2C4E"/>
    <w:rsid w:val="009E3639"/>
    <w:rsid w:val="009E4835"/>
    <w:rsid w:val="009E4A3A"/>
    <w:rsid w:val="009E4F20"/>
    <w:rsid w:val="009E53DC"/>
    <w:rsid w:val="009E546A"/>
    <w:rsid w:val="009E6C34"/>
    <w:rsid w:val="009E70A8"/>
    <w:rsid w:val="009E7B39"/>
    <w:rsid w:val="009E7F97"/>
    <w:rsid w:val="009F03FD"/>
    <w:rsid w:val="009F1E26"/>
    <w:rsid w:val="009F2195"/>
    <w:rsid w:val="009F2CDC"/>
    <w:rsid w:val="009F2EDE"/>
    <w:rsid w:val="009F484B"/>
    <w:rsid w:val="009F4935"/>
    <w:rsid w:val="009F4F76"/>
    <w:rsid w:val="009F5304"/>
    <w:rsid w:val="009F5D5D"/>
    <w:rsid w:val="009F68C2"/>
    <w:rsid w:val="009F6C23"/>
    <w:rsid w:val="009F6D95"/>
    <w:rsid w:val="00A00075"/>
    <w:rsid w:val="00A00FC2"/>
    <w:rsid w:val="00A017EA"/>
    <w:rsid w:val="00A01D7E"/>
    <w:rsid w:val="00A02025"/>
    <w:rsid w:val="00A024D3"/>
    <w:rsid w:val="00A0270A"/>
    <w:rsid w:val="00A02968"/>
    <w:rsid w:val="00A02CA4"/>
    <w:rsid w:val="00A04E75"/>
    <w:rsid w:val="00A0574B"/>
    <w:rsid w:val="00A057D2"/>
    <w:rsid w:val="00A05AB0"/>
    <w:rsid w:val="00A06BD7"/>
    <w:rsid w:val="00A06BE4"/>
    <w:rsid w:val="00A06CCC"/>
    <w:rsid w:val="00A07890"/>
    <w:rsid w:val="00A079FE"/>
    <w:rsid w:val="00A11703"/>
    <w:rsid w:val="00A117E8"/>
    <w:rsid w:val="00A11D0B"/>
    <w:rsid w:val="00A129E2"/>
    <w:rsid w:val="00A12EF1"/>
    <w:rsid w:val="00A1310C"/>
    <w:rsid w:val="00A1334C"/>
    <w:rsid w:val="00A13955"/>
    <w:rsid w:val="00A13D06"/>
    <w:rsid w:val="00A13E0D"/>
    <w:rsid w:val="00A145F0"/>
    <w:rsid w:val="00A16EEC"/>
    <w:rsid w:val="00A17725"/>
    <w:rsid w:val="00A206DC"/>
    <w:rsid w:val="00A20995"/>
    <w:rsid w:val="00A21393"/>
    <w:rsid w:val="00A21CCC"/>
    <w:rsid w:val="00A2232B"/>
    <w:rsid w:val="00A22594"/>
    <w:rsid w:val="00A23926"/>
    <w:rsid w:val="00A23A6A"/>
    <w:rsid w:val="00A2425F"/>
    <w:rsid w:val="00A24EA8"/>
    <w:rsid w:val="00A25E3D"/>
    <w:rsid w:val="00A267E8"/>
    <w:rsid w:val="00A30747"/>
    <w:rsid w:val="00A30CDB"/>
    <w:rsid w:val="00A311FB"/>
    <w:rsid w:val="00A33251"/>
    <w:rsid w:val="00A33895"/>
    <w:rsid w:val="00A33B88"/>
    <w:rsid w:val="00A346DF"/>
    <w:rsid w:val="00A34ECA"/>
    <w:rsid w:val="00A35895"/>
    <w:rsid w:val="00A35C43"/>
    <w:rsid w:val="00A35D8A"/>
    <w:rsid w:val="00A36FC5"/>
    <w:rsid w:val="00A37B67"/>
    <w:rsid w:val="00A40239"/>
    <w:rsid w:val="00A40B62"/>
    <w:rsid w:val="00A419EB"/>
    <w:rsid w:val="00A41C43"/>
    <w:rsid w:val="00A43494"/>
    <w:rsid w:val="00A43C3C"/>
    <w:rsid w:val="00A44A35"/>
    <w:rsid w:val="00A44E23"/>
    <w:rsid w:val="00A45532"/>
    <w:rsid w:val="00A4604C"/>
    <w:rsid w:val="00A468F4"/>
    <w:rsid w:val="00A472CA"/>
    <w:rsid w:val="00A473FF"/>
    <w:rsid w:val="00A503BD"/>
    <w:rsid w:val="00A5103A"/>
    <w:rsid w:val="00A51583"/>
    <w:rsid w:val="00A515D3"/>
    <w:rsid w:val="00A51E1B"/>
    <w:rsid w:val="00A52049"/>
    <w:rsid w:val="00A527C1"/>
    <w:rsid w:val="00A529A1"/>
    <w:rsid w:val="00A531C7"/>
    <w:rsid w:val="00A53899"/>
    <w:rsid w:val="00A53A64"/>
    <w:rsid w:val="00A53F8D"/>
    <w:rsid w:val="00A54ECA"/>
    <w:rsid w:val="00A5672E"/>
    <w:rsid w:val="00A5696D"/>
    <w:rsid w:val="00A56C03"/>
    <w:rsid w:val="00A57520"/>
    <w:rsid w:val="00A579C7"/>
    <w:rsid w:val="00A61A04"/>
    <w:rsid w:val="00A61CAF"/>
    <w:rsid w:val="00A63907"/>
    <w:rsid w:val="00A63D7F"/>
    <w:rsid w:val="00A64DF4"/>
    <w:rsid w:val="00A65B5F"/>
    <w:rsid w:val="00A65FE3"/>
    <w:rsid w:val="00A66AEA"/>
    <w:rsid w:val="00A66AEC"/>
    <w:rsid w:val="00A66DD5"/>
    <w:rsid w:val="00A66F47"/>
    <w:rsid w:val="00A677A9"/>
    <w:rsid w:val="00A6785B"/>
    <w:rsid w:val="00A67872"/>
    <w:rsid w:val="00A7016E"/>
    <w:rsid w:val="00A714F9"/>
    <w:rsid w:val="00A71D18"/>
    <w:rsid w:val="00A72CB2"/>
    <w:rsid w:val="00A732AB"/>
    <w:rsid w:val="00A74AD5"/>
    <w:rsid w:val="00A74E11"/>
    <w:rsid w:val="00A75C23"/>
    <w:rsid w:val="00A75C7F"/>
    <w:rsid w:val="00A76044"/>
    <w:rsid w:val="00A77CCD"/>
    <w:rsid w:val="00A8090D"/>
    <w:rsid w:val="00A80B0C"/>
    <w:rsid w:val="00A811D9"/>
    <w:rsid w:val="00A81235"/>
    <w:rsid w:val="00A814B1"/>
    <w:rsid w:val="00A815F2"/>
    <w:rsid w:val="00A8183A"/>
    <w:rsid w:val="00A82DE3"/>
    <w:rsid w:val="00A83A0F"/>
    <w:rsid w:val="00A84477"/>
    <w:rsid w:val="00A850F3"/>
    <w:rsid w:val="00A86CDC"/>
    <w:rsid w:val="00A9022B"/>
    <w:rsid w:val="00A909C0"/>
    <w:rsid w:val="00A90BAE"/>
    <w:rsid w:val="00A912A4"/>
    <w:rsid w:val="00A918FC"/>
    <w:rsid w:val="00A919A8"/>
    <w:rsid w:val="00A92B24"/>
    <w:rsid w:val="00A9331C"/>
    <w:rsid w:val="00A93A9C"/>
    <w:rsid w:val="00A93BF4"/>
    <w:rsid w:val="00A94319"/>
    <w:rsid w:val="00A95BF5"/>
    <w:rsid w:val="00A96240"/>
    <w:rsid w:val="00A96859"/>
    <w:rsid w:val="00AA1398"/>
    <w:rsid w:val="00AA1B2A"/>
    <w:rsid w:val="00AA1F92"/>
    <w:rsid w:val="00AA2CF6"/>
    <w:rsid w:val="00AA30F8"/>
    <w:rsid w:val="00AA32EC"/>
    <w:rsid w:val="00AA380C"/>
    <w:rsid w:val="00AA3E7D"/>
    <w:rsid w:val="00AA5724"/>
    <w:rsid w:val="00AA6294"/>
    <w:rsid w:val="00AA630B"/>
    <w:rsid w:val="00AA6660"/>
    <w:rsid w:val="00AA67B7"/>
    <w:rsid w:val="00AB0363"/>
    <w:rsid w:val="00AB10C4"/>
    <w:rsid w:val="00AB177E"/>
    <w:rsid w:val="00AB3024"/>
    <w:rsid w:val="00AB3B7E"/>
    <w:rsid w:val="00AB5A7B"/>
    <w:rsid w:val="00AB5D2E"/>
    <w:rsid w:val="00AB5D9B"/>
    <w:rsid w:val="00AB6CB1"/>
    <w:rsid w:val="00AB71F0"/>
    <w:rsid w:val="00AB7B4F"/>
    <w:rsid w:val="00AB7EC7"/>
    <w:rsid w:val="00AC006F"/>
    <w:rsid w:val="00AC0626"/>
    <w:rsid w:val="00AC12E0"/>
    <w:rsid w:val="00AC1BDE"/>
    <w:rsid w:val="00AC1D71"/>
    <w:rsid w:val="00AC269E"/>
    <w:rsid w:val="00AC2D76"/>
    <w:rsid w:val="00AC38C3"/>
    <w:rsid w:val="00AC3C96"/>
    <w:rsid w:val="00AC3E27"/>
    <w:rsid w:val="00AC4134"/>
    <w:rsid w:val="00AC42BA"/>
    <w:rsid w:val="00AC4D20"/>
    <w:rsid w:val="00AC5BCF"/>
    <w:rsid w:val="00AD13E0"/>
    <w:rsid w:val="00AD29FF"/>
    <w:rsid w:val="00AD2B54"/>
    <w:rsid w:val="00AD4EF4"/>
    <w:rsid w:val="00AD4F9D"/>
    <w:rsid w:val="00AD648C"/>
    <w:rsid w:val="00AD64C1"/>
    <w:rsid w:val="00AD6520"/>
    <w:rsid w:val="00AD7936"/>
    <w:rsid w:val="00AD7A14"/>
    <w:rsid w:val="00AE0183"/>
    <w:rsid w:val="00AE1C2C"/>
    <w:rsid w:val="00AE1D98"/>
    <w:rsid w:val="00AE2240"/>
    <w:rsid w:val="00AE320C"/>
    <w:rsid w:val="00AE622B"/>
    <w:rsid w:val="00AE6A39"/>
    <w:rsid w:val="00AE6C77"/>
    <w:rsid w:val="00AE7BD7"/>
    <w:rsid w:val="00AF1B4D"/>
    <w:rsid w:val="00AF4D0C"/>
    <w:rsid w:val="00AF4E28"/>
    <w:rsid w:val="00AF508B"/>
    <w:rsid w:val="00AF50D4"/>
    <w:rsid w:val="00AF5F49"/>
    <w:rsid w:val="00AF671D"/>
    <w:rsid w:val="00AF6C5F"/>
    <w:rsid w:val="00AF6D41"/>
    <w:rsid w:val="00B00B74"/>
    <w:rsid w:val="00B00D28"/>
    <w:rsid w:val="00B0128A"/>
    <w:rsid w:val="00B012FF"/>
    <w:rsid w:val="00B028E8"/>
    <w:rsid w:val="00B04394"/>
    <w:rsid w:val="00B04E27"/>
    <w:rsid w:val="00B05030"/>
    <w:rsid w:val="00B05CEC"/>
    <w:rsid w:val="00B05E06"/>
    <w:rsid w:val="00B060FB"/>
    <w:rsid w:val="00B06DDE"/>
    <w:rsid w:val="00B07267"/>
    <w:rsid w:val="00B07272"/>
    <w:rsid w:val="00B073B4"/>
    <w:rsid w:val="00B10173"/>
    <w:rsid w:val="00B104B1"/>
    <w:rsid w:val="00B10A15"/>
    <w:rsid w:val="00B11515"/>
    <w:rsid w:val="00B1153D"/>
    <w:rsid w:val="00B116BE"/>
    <w:rsid w:val="00B11794"/>
    <w:rsid w:val="00B11804"/>
    <w:rsid w:val="00B11949"/>
    <w:rsid w:val="00B11F1B"/>
    <w:rsid w:val="00B1284D"/>
    <w:rsid w:val="00B133A8"/>
    <w:rsid w:val="00B139EF"/>
    <w:rsid w:val="00B13BFA"/>
    <w:rsid w:val="00B14535"/>
    <w:rsid w:val="00B14DF5"/>
    <w:rsid w:val="00B15337"/>
    <w:rsid w:val="00B15FCA"/>
    <w:rsid w:val="00B16F0E"/>
    <w:rsid w:val="00B17B02"/>
    <w:rsid w:val="00B17BE0"/>
    <w:rsid w:val="00B17CF3"/>
    <w:rsid w:val="00B209A4"/>
    <w:rsid w:val="00B21AF0"/>
    <w:rsid w:val="00B21E7F"/>
    <w:rsid w:val="00B221DD"/>
    <w:rsid w:val="00B22AD8"/>
    <w:rsid w:val="00B237FB"/>
    <w:rsid w:val="00B23B22"/>
    <w:rsid w:val="00B23BCD"/>
    <w:rsid w:val="00B23E06"/>
    <w:rsid w:val="00B24DBB"/>
    <w:rsid w:val="00B25828"/>
    <w:rsid w:val="00B27130"/>
    <w:rsid w:val="00B278C3"/>
    <w:rsid w:val="00B30DAA"/>
    <w:rsid w:val="00B318D5"/>
    <w:rsid w:val="00B32120"/>
    <w:rsid w:val="00B3333D"/>
    <w:rsid w:val="00B33A95"/>
    <w:rsid w:val="00B33D09"/>
    <w:rsid w:val="00B34354"/>
    <w:rsid w:val="00B34395"/>
    <w:rsid w:val="00B34522"/>
    <w:rsid w:val="00B347C3"/>
    <w:rsid w:val="00B34E4B"/>
    <w:rsid w:val="00B40022"/>
    <w:rsid w:val="00B41177"/>
    <w:rsid w:val="00B4135C"/>
    <w:rsid w:val="00B41FA0"/>
    <w:rsid w:val="00B434AA"/>
    <w:rsid w:val="00B44002"/>
    <w:rsid w:val="00B44AA1"/>
    <w:rsid w:val="00B4680C"/>
    <w:rsid w:val="00B468D6"/>
    <w:rsid w:val="00B47693"/>
    <w:rsid w:val="00B47BCF"/>
    <w:rsid w:val="00B52D92"/>
    <w:rsid w:val="00B52E0B"/>
    <w:rsid w:val="00B53281"/>
    <w:rsid w:val="00B53CA9"/>
    <w:rsid w:val="00B54384"/>
    <w:rsid w:val="00B54454"/>
    <w:rsid w:val="00B555AD"/>
    <w:rsid w:val="00B5578A"/>
    <w:rsid w:val="00B5664B"/>
    <w:rsid w:val="00B56B89"/>
    <w:rsid w:val="00B5743C"/>
    <w:rsid w:val="00B610E6"/>
    <w:rsid w:val="00B62D44"/>
    <w:rsid w:val="00B637B9"/>
    <w:rsid w:val="00B63FFE"/>
    <w:rsid w:val="00B64E51"/>
    <w:rsid w:val="00B67EE6"/>
    <w:rsid w:val="00B71ACB"/>
    <w:rsid w:val="00B71E26"/>
    <w:rsid w:val="00B721FE"/>
    <w:rsid w:val="00B72889"/>
    <w:rsid w:val="00B730EC"/>
    <w:rsid w:val="00B73AA7"/>
    <w:rsid w:val="00B73CBF"/>
    <w:rsid w:val="00B74468"/>
    <w:rsid w:val="00B7557A"/>
    <w:rsid w:val="00B75787"/>
    <w:rsid w:val="00B75ADF"/>
    <w:rsid w:val="00B762A1"/>
    <w:rsid w:val="00B76419"/>
    <w:rsid w:val="00B76A68"/>
    <w:rsid w:val="00B77074"/>
    <w:rsid w:val="00B770C3"/>
    <w:rsid w:val="00B7785E"/>
    <w:rsid w:val="00B818FD"/>
    <w:rsid w:val="00B822A0"/>
    <w:rsid w:val="00B8280A"/>
    <w:rsid w:val="00B82878"/>
    <w:rsid w:val="00B82A79"/>
    <w:rsid w:val="00B82FE1"/>
    <w:rsid w:val="00B8317E"/>
    <w:rsid w:val="00B836DD"/>
    <w:rsid w:val="00B84964"/>
    <w:rsid w:val="00B84989"/>
    <w:rsid w:val="00B85600"/>
    <w:rsid w:val="00B86968"/>
    <w:rsid w:val="00B86E86"/>
    <w:rsid w:val="00B86ED3"/>
    <w:rsid w:val="00B870BB"/>
    <w:rsid w:val="00B8710D"/>
    <w:rsid w:val="00B87E97"/>
    <w:rsid w:val="00B91FD9"/>
    <w:rsid w:val="00B94CD1"/>
    <w:rsid w:val="00B960CC"/>
    <w:rsid w:val="00B96638"/>
    <w:rsid w:val="00B97F30"/>
    <w:rsid w:val="00B97F96"/>
    <w:rsid w:val="00BA00DB"/>
    <w:rsid w:val="00BA0284"/>
    <w:rsid w:val="00BA0327"/>
    <w:rsid w:val="00BA266B"/>
    <w:rsid w:val="00BA5AEE"/>
    <w:rsid w:val="00BA5C8C"/>
    <w:rsid w:val="00BA6217"/>
    <w:rsid w:val="00BA6339"/>
    <w:rsid w:val="00BA6EE7"/>
    <w:rsid w:val="00BA769C"/>
    <w:rsid w:val="00BB076E"/>
    <w:rsid w:val="00BB0803"/>
    <w:rsid w:val="00BB0B19"/>
    <w:rsid w:val="00BB2B61"/>
    <w:rsid w:val="00BB36E1"/>
    <w:rsid w:val="00BB3D84"/>
    <w:rsid w:val="00BB4264"/>
    <w:rsid w:val="00BB4431"/>
    <w:rsid w:val="00BB55C5"/>
    <w:rsid w:val="00BB5AC6"/>
    <w:rsid w:val="00BB6321"/>
    <w:rsid w:val="00BB6C49"/>
    <w:rsid w:val="00BB7A8D"/>
    <w:rsid w:val="00BC13F5"/>
    <w:rsid w:val="00BC19F2"/>
    <w:rsid w:val="00BC1C6D"/>
    <w:rsid w:val="00BC1E0A"/>
    <w:rsid w:val="00BC200F"/>
    <w:rsid w:val="00BC29B0"/>
    <w:rsid w:val="00BC2CC6"/>
    <w:rsid w:val="00BC35D1"/>
    <w:rsid w:val="00BC37D9"/>
    <w:rsid w:val="00BC390D"/>
    <w:rsid w:val="00BC3952"/>
    <w:rsid w:val="00BC3CFF"/>
    <w:rsid w:val="00BC4504"/>
    <w:rsid w:val="00BC5470"/>
    <w:rsid w:val="00BC551A"/>
    <w:rsid w:val="00BC5664"/>
    <w:rsid w:val="00BC5BB8"/>
    <w:rsid w:val="00BC5BDA"/>
    <w:rsid w:val="00BC5E34"/>
    <w:rsid w:val="00BC609C"/>
    <w:rsid w:val="00BC62D8"/>
    <w:rsid w:val="00BC700A"/>
    <w:rsid w:val="00BC7223"/>
    <w:rsid w:val="00BD01A9"/>
    <w:rsid w:val="00BD02BF"/>
    <w:rsid w:val="00BD0895"/>
    <w:rsid w:val="00BD08BF"/>
    <w:rsid w:val="00BD0EE8"/>
    <w:rsid w:val="00BD1535"/>
    <w:rsid w:val="00BD2762"/>
    <w:rsid w:val="00BD455F"/>
    <w:rsid w:val="00BD52DE"/>
    <w:rsid w:val="00BD613B"/>
    <w:rsid w:val="00BE015D"/>
    <w:rsid w:val="00BE1780"/>
    <w:rsid w:val="00BE2604"/>
    <w:rsid w:val="00BE27DF"/>
    <w:rsid w:val="00BE2863"/>
    <w:rsid w:val="00BE3774"/>
    <w:rsid w:val="00BE44C6"/>
    <w:rsid w:val="00BE4DAE"/>
    <w:rsid w:val="00BE5321"/>
    <w:rsid w:val="00BE6744"/>
    <w:rsid w:val="00BE6C60"/>
    <w:rsid w:val="00BE6DC1"/>
    <w:rsid w:val="00BE708D"/>
    <w:rsid w:val="00BE7275"/>
    <w:rsid w:val="00BE77AF"/>
    <w:rsid w:val="00BF033F"/>
    <w:rsid w:val="00BF0C12"/>
    <w:rsid w:val="00BF0ED9"/>
    <w:rsid w:val="00BF1551"/>
    <w:rsid w:val="00BF15F0"/>
    <w:rsid w:val="00BF1A72"/>
    <w:rsid w:val="00BF21E7"/>
    <w:rsid w:val="00BF2A09"/>
    <w:rsid w:val="00BF3775"/>
    <w:rsid w:val="00BF3889"/>
    <w:rsid w:val="00BF4B69"/>
    <w:rsid w:val="00BF4F25"/>
    <w:rsid w:val="00BF4FEC"/>
    <w:rsid w:val="00BF509B"/>
    <w:rsid w:val="00BF5ADA"/>
    <w:rsid w:val="00BF5F73"/>
    <w:rsid w:val="00BF64DA"/>
    <w:rsid w:val="00BF6BEA"/>
    <w:rsid w:val="00BF78F2"/>
    <w:rsid w:val="00BF7C94"/>
    <w:rsid w:val="00C00150"/>
    <w:rsid w:val="00C01042"/>
    <w:rsid w:val="00C010EE"/>
    <w:rsid w:val="00C0293C"/>
    <w:rsid w:val="00C02EE2"/>
    <w:rsid w:val="00C02F95"/>
    <w:rsid w:val="00C04919"/>
    <w:rsid w:val="00C04ACE"/>
    <w:rsid w:val="00C07161"/>
    <w:rsid w:val="00C07A7E"/>
    <w:rsid w:val="00C07B35"/>
    <w:rsid w:val="00C1135B"/>
    <w:rsid w:val="00C12599"/>
    <w:rsid w:val="00C12A4C"/>
    <w:rsid w:val="00C12B05"/>
    <w:rsid w:val="00C12E5E"/>
    <w:rsid w:val="00C13162"/>
    <w:rsid w:val="00C1369D"/>
    <w:rsid w:val="00C14845"/>
    <w:rsid w:val="00C151EB"/>
    <w:rsid w:val="00C1595A"/>
    <w:rsid w:val="00C15C8D"/>
    <w:rsid w:val="00C15CE1"/>
    <w:rsid w:val="00C15DEE"/>
    <w:rsid w:val="00C15EF5"/>
    <w:rsid w:val="00C1602F"/>
    <w:rsid w:val="00C167C3"/>
    <w:rsid w:val="00C16FA1"/>
    <w:rsid w:val="00C17A65"/>
    <w:rsid w:val="00C17C92"/>
    <w:rsid w:val="00C2111B"/>
    <w:rsid w:val="00C2292C"/>
    <w:rsid w:val="00C23394"/>
    <w:rsid w:val="00C23AB8"/>
    <w:rsid w:val="00C2434E"/>
    <w:rsid w:val="00C24796"/>
    <w:rsid w:val="00C256A8"/>
    <w:rsid w:val="00C25911"/>
    <w:rsid w:val="00C25E49"/>
    <w:rsid w:val="00C26382"/>
    <w:rsid w:val="00C271E8"/>
    <w:rsid w:val="00C2763B"/>
    <w:rsid w:val="00C307B8"/>
    <w:rsid w:val="00C317C1"/>
    <w:rsid w:val="00C318C7"/>
    <w:rsid w:val="00C31DB0"/>
    <w:rsid w:val="00C32319"/>
    <w:rsid w:val="00C32624"/>
    <w:rsid w:val="00C32DCE"/>
    <w:rsid w:val="00C334A4"/>
    <w:rsid w:val="00C338B0"/>
    <w:rsid w:val="00C34030"/>
    <w:rsid w:val="00C34A25"/>
    <w:rsid w:val="00C34A28"/>
    <w:rsid w:val="00C35586"/>
    <w:rsid w:val="00C3570E"/>
    <w:rsid w:val="00C36551"/>
    <w:rsid w:val="00C411BF"/>
    <w:rsid w:val="00C413E6"/>
    <w:rsid w:val="00C4161E"/>
    <w:rsid w:val="00C41758"/>
    <w:rsid w:val="00C4181B"/>
    <w:rsid w:val="00C41A08"/>
    <w:rsid w:val="00C41FAC"/>
    <w:rsid w:val="00C42B74"/>
    <w:rsid w:val="00C42BE8"/>
    <w:rsid w:val="00C43F80"/>
    <w:rsid w:val="00C443FD"/>
    <w:rsid w:val="00C445DD"/>
    <w:rsid w:val="00C44C9B"/>
    <w:rsid w:val="00C455CD"/>
    <w:rsid w:val="00C45DF1"/>
    <w:rsid w:val="00C45F83"/>
    <w:rsid w:val="00C4679F"/>
    <w:rsid w:val="00C46E21"/>
    <w:rsid w:val="00C473DF"/>
    <w:rsid w:val="00C4786B"/>
    <w:rsid w:val="00C479AD"/>
    <w:rsid w:val="00C5209F"/>
    <w:rsid w:val="00C52546"/>
    <w:rsid w:val="00C52762"/>
    <w:rsid w:val="00C56563"/>
    <w:rsid w:val="00C576A7"/>
    <w:rsid w:val="00C57706"/>
    <w:rsid w:val="00C60667"/>
    <w:rsid w:val="00C60E75"/>
    <w:rsid w:val="00C61744"/>
    <w:rsid w:val="00C61A29"/>
    <w:rsid w:val="00C63056"/>
    <w:rsid w:val="00C63F8F"/>
    <w:rsid w:val="00C64212"/>
    <w:rsid w:val="00C64391"/>
    <w:rsid w:val="00C661E2"/>
    <w:rsid w:val="00C66AA6"/>
    <w:rsid w:val="00C67421"/>
    <w:rsid w:val="00C677AD"/>
    <w:rsid w:val="00C70C80"/>
    <w:rsid w:val="00C70FEF"/>
    <w:rsid w:val="00C72477"/>
    <w:rsid w:val="00C72875"/>
    <w:rsid w:val="00C73192"/>
    <w:rsid w:val="00C73A3F"/>
    <w:rsid w:val="00C74BD1"/>
    <w:rsid w:val="00C808A1"/>
    <w:rsid w:val="00C80E41"/>
    <w:rsid w:val="00C85C8C"/>
    <w:rsid w:val="00C85CEF"/>
    <w:rsid w:val="00C86335"/>
    <w:rsid w:val="00C864AD"/>
    <w:rsid w:val="00C8662A"/>
    <w:rsid w:val="00C87708"/>
    <w:rsid w:val="00C87D5A"/>
    <w:rsid w:val="00C901A8"/>
    <w:rsid w:val="00C912A5"/>
    <w:rsid w:val="00C91A15"/>
    <w:rsid w:val="00C91E3C"/>
    <w:rsid w:val="00C921A0"/>
    <w:rsid w:val="00C921C0"/>
    <w:rsid w:val="00C923EE"/>
    <w:rsid w:val="00C92971"/>
    <w:rsid w:val="00C92D54"/>
    <w:rsid w:val="00C950EA"/>
    <w:rsid w:val="00C95182"/>
    <w:rsid w:val="00C958D0"/>
    <w:rsid w:val="00C95939"/>
    <w:rsid w:val="00C96469"/>
    <w:rsid w:val="00C97CC0"/>
    <w:rsid w:val="00CA10AA"/>
    <w:rsid w:val="00CA1891"/>
    <w:rsid w:val="00CA1ACD"/>
    <w:rsid w:val="00CA1EB3"/>
    <w:rsid w:val="00CA1F64"/>
    <w:rsid w:val="00CA2CC0"/>
    <w:rsid w:val="00CA3F38"/>
    <w:rsid w:val="00CA4395"/>
    <w:rsid w:val="00CA4A49"/>
    <w:rsid w:val="00CA544F"/>
    <w:rsid w:val="00CA54A3"/>
    <w:rsid w:val="00CA5567"/>
    <w:rsid w:val="00CA58F7"/>
    <w:rsid w:val="00CA5997"/>
    <w:rsid w:val="00CA5C46"/>
    <w:rsid w:val="00CA5C95"/>
    <w:rsid w:val="00CA6632"/>
    <w:rsid w:val="00CA6D78"/>
    <w:rsid w:val="00CA7583"/>
    <w:rsid w:val="00CA7891"/>
    <w:rsid w:val="00CA7B53"/>
    <w:rsid w:val="00CB0C12"/>
    <w:rsid w:val="00CB19CD"/>
    <w:rsid w:val="00CB1A41"/>
    <w:rsid w:val="00CB23D7"/>
    <w:rsid w:val="00CB2A8E"/>
    <w:rsid w:val="00CB2AF1"/>
    <w:rsid w:val="00CB3A51"/>
    <w:rsid w:val="00CB3F03"/>
    <w:rsid w:val="00CB4333"/>
    <w:rsid w:val="00CB5323"/>
    <w:rsid w:val="00CB56C9"/>
    <w:rsid w:val="00CB5911"/>
    <w:rsid w:val="00CB7CAD"/>
    <w:rsid w:val="00CC02BC"/>
    <w:rsid w:val="00CC0307"/>
    <w:rsid w:val="00CC0867"/>
    <w:rsid w:val="00CC0BA2"/>
    <w:rsid w:val="00CC2256"/>
    <w:rsid w:val="00CC22F6"/>
    <w:rsid w:val="00CC2734"/>
    <w:rsid w:val="00CC2BDC"/>
    <w:rsid w:val="00CC461C"/>
    <w:rsid w:val="00CC49DF"/>
    <w:rsid w:val="00CC4D7F"/>
    <w:rsid w:val="00CC4FCA"/>
    <w:rsid w:val="00CC5138"/>
    <w:rsid w:val="00CC52D6"/>
    <w:rsid w:val="00CC55CE"/>
    <w:rsid w:val="00CC64A9"/>
    <w:rsid w:val="00CC6D6A"/>
    <w:rsid w:val="00CC73EF"/>
    <w:rsid w:val="00CC7700"/>
    <w:rsid w:val="00CC7F86"/>
    <w:rsid w:val="00CD0DD9"/>
    <w:rsid w:val="00CD11A2"/>
    <w:rsid w:val="00CD173B"/>
    <w:rsid w:val="00CD2938"/>
    <w:rsid w:val="00CD5370"/>
    <w:rsid w:val="00CD57EC"/>
    <w:rsid w:val="00CD5947"/>
    <w:rsid w:val="00CD5A26"/>
    <w:rsid w:val="00CD5F76"/>
    <w:rsid w:val="00CD6697"/>
    <w:rsid w:val="00CD6FC7"/>
    <w:rsid w:val="00CE0229"/>
    <w:rsid w:val="00CE10EB"/>
    <w:rsid w:val="00CE1100"/>
    <w:rsid w:val="00CE1991"/>
    <w:rsid w:val="00CE1D1C"/>
    <w:rsid w:val="00CE291D"/>
    <w:rsid w:val="00CE31AB"/>
    <w:rsid w:val="00CE369B"/>
    <w:rsid w:val="00CE42BA"/>
    <w:rsid w:val="00CE4B1A"/>
    <w:rsid w:val="00CE5458"/>
    <w:rsid w:val="00CE5469"/>
    <w:rsid w:val="00CE5798"/>
    <w:rsid w:val="00CE5BB6"/>
    <w:rsid w:val="00CE5C05"/>
    <w:rsid w:val="00CE5CFB"/>
    <w:rsid w:val="00CE6C46"/>
    <w:rsid w:val="00CE7795"/>
    <w:rsid w:val="00CE7F5D"/>
    <w:rsid w:val="00CF005F"/>
    <w:rsid w:val="00CF095E"/>
    <w:rsid w:val="00CF10DB"/>
    <w:rsid w:val="00CF113C"/>
    <w:rsid w:val="00CF17C1"/>
    <w:rsid w:val="00CF1AAE"/>
    <w:rsid w:val="00CF1D6A"/>
    <w:rsid w:val="00CF2591"/>
    <w:rsid w:val="00CF355B"/>
    <w:rsid w:val="00CF37A5"/>
    <w:rsid w:val="00CF40EC"/>
    <w:rsid w:val="00CF47A4"/>
    <w:rsid w:val="00CF4F02"/>
    <w:rsid w:val="00CF6E4A"/>
    <w:rsid w:val="00CF7676"/>
    <w:rsid w:val="00CF7FD8"/>
    <w:rsid w:val="00D0009A"/>
    <w:rsid w:val="00D01646"/>
    <w:rsid w:val="00D02982"/>
    <w:rsid w:val="00D02FDC"/>
    <w:rsid w:val="00D034DD"/>
    <w:rsid w:val="00D03ED0"/>
    <w:rsid w:val="00D04708"/>
    <w:rsid w:val="00D04C06"/>
    <w:rsid w:val="00D0586A"/>
    <w:rsid w:val="00D1147B"/>
    <w:rsid w:val="00D11955"/>
    <w:rsid w:val="00D1218C"/>
    <w:rsid w:val="00D1269D"/>
    <w:rsid w:val="00D13838"/>
    <w:rsid w:val="00D13A3D"/>
    <w:rsid w:val="00D148B7"/>
    <w:rsid w:val="00D14C5F"/>
    <w:rsid w:val="00D14CD0"/>
    <w:rsid w:val="00D15518"/>
    <w:rsid w:val="00D15884"/>
    <w:rsid w:val="00D16530"/>
    <w:rsid w:val="00D16FC6"/>
    <w:rsid w:val="00D1718B"/>
    <w:rsid w:val="00D17275"/>
    <w:rsid w:val="00D20428"/>
    <w:rsid w:val="00D21DA2"/>
    <w:rsid w:val="00D21E5C"/>
    <w:rsid w:val="00D227A3"/>
    <w:rsid w:val="00D22D89"/>
    <w:rsid w:val="00D23D88"/>
    <w:rsid w:val="00D23DE6"/>
    <w:rsid w:val="00D2646B"/>
    <w:rsid w:val="00D26E12"/>
    <w:rsid w:val="00D26F23"/>
    <w:rsid w:val="00D30259"/>
    <w:rsid w:val="00D30829"/>
    <w:rsid w:val="00D309BF"/>
    <w:rsid w:val="00D311D8"/>
    <w:rsid w:val="00D3144D"/>
    <w:rsid w:val="00D31726"/>
    <w:rsid w:val="00D3387E"/>
    <w:rsid w:val="00D33F4F"/>
    <w:rsid w:val="00D351F5"/>
    <w:rsid w:val="00D35203"/>
    <w:rsid w:val="00D3637C"/>
    <w:rsid w:val="00D36580"/>
    <w:rsid w:val="00D376F2"/>
    <w:rsid w:val="00D377AB"/>
    <w:rsid w:val="00D40949"/>
    <w:rsid w:val="00D40FCE"/>
    <w:rsid w:val="00D41D51"/>
    <w:rsid w:val="00D42698"/>
    <w:rsid w:val="00D42B8C"/>
    <w:rsid w:val="00D4339C"/>
    <w:rsid w:val="00D43C4C"/>
    <w:rsid w:val="00D43D15"/>
    <w:rsid w:val="00D44C58"/>
    <w:rsid w:val="00D4522D"/>
    <w:rsid w:val="00D45A16"/>
    <w:rsid w:val="00D45ABA"/>
    <w:rsid w:val="00D47507"/>
    <w:rsid w:val="00D4755B"/>
    <w:rsid w:val="00D51713"/>
    <w:rsid w:val="00D526EA"/>
    <w:rsid w:val="00D5293D"/>
    <w:rsid w:val="00D52AAC"/>
    <w:rsid w:val="00D533FA"/>
    <w:rsid w:val="00D543BC"/>
    <w:rsid w:val="00D54E3A"/>
    <w:rsid w:val="00D55192"/>
    <w:rsid w:val="00D565AA"/>
    <w:rsid w:val="00D57494"/>
    <w:rsid w:val="00D57E38"/>
    <w:rsid w:val="00D61786"/>
    <w:rsid w:val="00D61838"/>
    <w:rsid w:val="00D61CC0"/>
    <w:rsid w:val="00D61FA4"/>
    <w:rsid w:val="00D62A07"/>
    <w:rsid w:val="00D62A33"/>
    <w:rsid w:val="00D62BC5"/>
    <w:rsid w:val="00D62ED8"/>
    <w:rsid w:val="00D62EE2"/>
    <w:rsid w:val="00D6328F"/>
    <w:rsid w:val="00D63B39"/>
    <w:rsid w:val="00D642F8"/>
    <w:rsid w:val="00D66928"/>
    <w:rsid w:val="00D66CDE"/>
    <w:rsid w:val="00D67472"/>
    <w:rsid w:val="00D677F7"/>
    <w:rsid w:val="00D7062E"/>
    <w:rsid w:val="00D70843"/>
    <w:rsid w:val="00D70AA1"/>
    <w:rsid w:val="00D70DD7"/>
    <w:rsid w:val="00D71468"/>
    <w:rsid w:val="00D71F79"/>
    <w:rsid w:val="00D724FB"/>
    <w:rsid w:val="00D72D86"/>
    <w:rsid w:val="00D76359"/>
    <w:rsid w:val="00D76442"/>
    <w:rsid w:val="00D76BD4"/>
    <w:rsid w:val="00D76C7D"/>
    <w:rsid w:val="00D7746E"/>
    <w:rsid w:val="00D806F4"/>
    <w:rsid w:val="00D80723"/>
    <w:rsid w:val="00D80819"/>
    <w:rsid w:val="00D84715"/>
    <w:rsid w:val="00D847FD"/>
    <w:rsid w:val="00D849A3"/>
    <w:rsid w:val="00D85B96"/>
    <w:rsid w:val="00D8650F"/>
    <w:rsid w:val="00D86A20"/>
    <w:rsid w:val="00D86A55"/>
    <w:rsid w:val="00D86A7E"/>
    <w:rsid w:val="00D86C28"/>
    <w:rsid w:val="00D87264"/>
    <w:rsid w:val="00D87BF6"/>
    <w:rsid w:val="00D87D53"/>
    <w:rsid w:val="00D9093A"/>
    <w:rsid w:val="00D90C3D"/>
    <w:rsid w:val="00D918DF"/>
    <w:rsid w:val="00D91F73"/>
    <w:rsid w:val="00D93196"/>
    <w:rsid w:val="00D95435"/>
    <w:rsid w:val="00D95BF8"/>
    <w:rsid w:val="00D962E8"/>
    <w:rsid w:val="00D96408"/>
    <w:rsid w:val="00D96D64"/>
    <w:rsid w:val="00D9714A"/>
    <w:rsid w:val="00D97A7E"/>
    <w:rsid w:val="00DA11FB"/>
    <w:rsid w:val="00DA27E3"/>
    <w:rsid w:val="00DA2FBE"/>
    <w:rsid w:val="00DA437B"/>
    <w:rsid w:val="00DA463E"/>
    <w:rsid w:val="00DA4F65"/>
    <w:rsid w:val="00DA7146"/>
    <w:rsid w:val="00DA72DA"/>
    <w:rsid w:val="00DB08CD"/>
    <w:rsid w:val="00DB0A95"/>
    <w:rsid w:val="00DB0D63"/>
    <w:rsid w:val="00DB0F55"/>
    <w:rsid w:val="00DB295D"/>
    <w:rsid w:val="00DB3BA9"/>
    <w:rsid w:val="00DB3FAD"/>
    <w:rsid w:val="00DB47AB"/>
    <w:rsid w:val="00DB67E7"/>
    <w:rsid w:val="00DB7117"/>
    <w:rsid w:val="00DC09DF"/>
    <w:rsid w:val="00DC0BDB"/>
    <w:rsid w:val="00DC1DA0"/>
    <w:rsid w:val="00DC264D"/>
    <w:rsid w:val="00DC26A3"/>
    <w:rsid w:val="00DC2EEB"/>
    <w:rsid w:val="00DC417B"/>
    <w:rsid w:val="00DC4741"/>
    <w:rsid w:val="00DC4E17"/>
    <w:rsid w:val="00DC5B84"/>
    <w:rsid w:val="00DC62E0"/>
    <w:rsid w:val="00DD03B0"/>
    <w:rsid w:val="00DD1263"/>
    <w:rsid w:val="00DD1778"/>
    <w:rsid w:val="00DD1DFD"/>
    <w:rsid w:val="00DD2892"/>
    <w:rsid w:val="00DD2FBF"/>
    <w:rsid w:val="00DD3EE2"/>
    <w:rsid w:val="00DD41DB"/>
    <w:rsid w:val="00DD485C"/>
    <w:rsid w:val="00DD54BA"/>
    <w:rsid w:val="00DD583E"/>
    <w:rsid w:val="00DD5F09"/>
    <w:rsid w:val="00DD67D6"/>
    <w:rsid w:val="00DD67E0"/>
    <w:rsid w:val="00DD7227"/>
    <w:rsid w:val="00DD72CB"/>
    <w:rsid w:val="00DE0080"/>
    <w:rsid w:val="00DE06E6"/>
    <w:rsid w:val="00DE0EA0"/>
    <w:rsid w:val="00DE10D6"/>
    <w:rsid w:val="00DE1814"/>
    <w:rsid w:val="00DE18B7"/>
    <w:rsid w:val="00DE1A12"/>
    <w:rsid w:val="00DE308A"/>
    <w:rsid w:val="00DE3CC0"/>
    <w:rsid w:val="00DE471A"/>
    <w:rsid w:val="00DE6AD7"/>
    <w:rsid w:val="00DE6B0A"/>
    <w:rsid w:val="00DE714E"/>
    <w:rsid w:val="00DE75BF"/>
    <w:rsid w:val="00DE76B8"/>
    <w:rsid w:val="00DE7C91"/>
    <w:rsid w:val="00DF04BD"/>
    <w:rsid w:val="00DF0B08"/>
    <w:rsid w:val="00DF16F9"/>
    <w:rsid w:val="00DF1E3C"/>
    <w:rsid w:val="00DF1FB2"/>
    <w:rsid w:val="00DF2699"/>
    <w:rsid w:val="00DF2E86"/>
    <w:rsid w:val="00DF409F"/>
    <w:rsid w:val="00DF49E3"/>
    <w:rsid w:val="00DF5039"/>
    <w:rsid w:val="00DF53FE"/>
    <w:rsid w:val="00DF643B"/>
    <w:rsid w:val="00DF685A"/>
    <w:rsid w:val="00DF7176"/>
    <w:rsid w:val="00DF7490"/>
    <w:rsid w:val="00DF7978"/>
    <w:rsid w:val="00E009D8"/>
    <w:rsid w:val="00E01A37"/>
    <w:rsid w:val="00E02ACA"/>
    <w:rsid w:val="00E02F2C"/>
    <w:rsid w:val="00E0356E"/>
    <w:rsid w:val="00E0369F"/>
    <w:rsid w:val="00E04520"/>
    <w:rsid w:val="00E047BF"/>
    <w:rsid w:val="00E05B08"/>
    <w:rsid w:val="00E06098"/>
    <w:rsid w:val="00E060DB"/>
    <w:rsid w:val="00E06773"/>
    <w:rsid w:val="00E07447"/>
    <w:rsid w:val="00E0779E"/>
    <w:rsid w:val="00E07C00"/>
    <w:rsid w:val="00E119CB"/>
    <w:rsid w:val="00E11E8B"/>
    <w:rsid w:val="00E12462"/>
    <w:rsid w:val="00E1281C"/>
    <w:rsid w:val="00E12B0C"/>
    <w:rsid w:val="00E13344"/>
    <w:rsid w:val="00E14379"/>
    <w:rsid w:val="00E14E62"/>
    <w:rsid w:val="00E15D0B"/>
    <w:rsid w:val="00E1610A"/>
    <w:rsid w:val="00E20654"/>
    <w:rsid w:val="00E20E0B"/>
    <w:rsid w:val="00E20EB8"/>
    <w:rsid w:val="00E212D7"/>
    <w:rsid w:val="00E2199A"/>
    <w:rsid w:val="00E227CF"/>
    <w:rsid w:val="00E2340C"/>
    <w:rsid w:val="00E23ECC"/>
    <w:rsid w:val="00E26CCE"/>
    <w:rsid w:val="00E27361"/>
    <w:rsid w:val="00E279D8"/>
    <w:rsid w:val="00E27F3D"/>
    <w:rsid w:val="00E30648"/>
    <w:rsid w:val="00E3137A"/>
    <w:rsid w:val="00E31739"/>
    <w:rsid w:val="00E31FAE"/>
    <w:rsid w:val="00E32C1A"/>
    <w:rsid w:val="00E32D6A"/>
    <w:rsid w:val="00E32FA8"/>
    <w:rsid w:val="00E33217"/>
    <w:rsid w:val="00E338CB"/>
    <w:rsid w:val="00E35208"/>
    <w:rsid w:val="00E36006"/>
    <w:rsid w:val="00E3633A"/>
    <w:rsid w:val="00E36733"/>
    <w:rsid w:val="00E368A1"/>
    <w:rsid w:val="00E373D9"/>
    <w:rsid w:val="00E378F2"/>
    <w:rsid w:val="00E37B78"/>
    <w:rsid w:val="00E41FCD"/>
    <w:rsid w:val="00E42B3D"/>
    <w:rsid w:val="00E42B44"/>
    <w:rsid w:val="00E43477"/>
    <w:rsid w:val="00E448BB"/>
    <w:rsid w:val="00E45A6F"/>
    <w:rsid w:val="00E46755"/>
    <w:rsid w:val="00E46EDD"/>
    <w:rsid w:val="00E47009"/>
    <w:rsid w:val="00E47277"/>
    <w:rsid w:val="00E47744"/>
    <w:rsid w:val="00E47BA5"/>
    <w:rsid w:val="00E47E14"/>
    <w:rsid w:val="00E50071"/>
    <w:rsid w:val="00E50574"/>
    <w:rsid w:val="00E50682"/>
    <w:rsid w:val="00E5116A"/>
    <w:rsid w:val="00E5232F"/>
    <w:rsid w:val="00E52ACE"/>
    <w:rsid w:val="00E53553"/>
    <w:rsid w:val="00E5443B"/>
    <w:rsid w:val="00E544A5"/>
    <w:rsid w:val="00E55836"/>
    <w:rsid w:val="00E56BB9"/>
    <w:rsid w:val="00E612C6"/>
    <w:rsid w:val="00E61CC4"/>
    <w:rsid w:val="00E62C64"/>
    <w:rsid w:val="00E64430"/>
    <w:rsid w:val="00E64866"/>
    <w:rsid w:val="00E64E2D"/>
    <w:rsid w:val="00E650EC"/>
    <w:rsid w:val="00E6554A"/>
    <w:rsid w:val="00E65C32"/>
    <w:rsid w:val="00E665D0"/>
    <w:rsid w:val="00E67618"/>
    <w:rsid w:val="00E70799"/>
    <w:rsid w:val="00E71F11"/>
    <w:rsid w:val="00E72580"/>
    <w:rsid w:val="00E72922"/>
    <w:rsid w:val="00E72D8A"/>
    <w:rsid w:val="00E73D4D"/>
    <w:rsid w:val="00E753DC"/>
    <w:rsid w:val="00E758BB"/>
    <w:rsid w:val="00E7642B"/>
    <w:rsid w:val="00E76527"/>
    <w:rsid w:val="00E766AF"/>
    <w:rsid w:val="00E77332"/>
    <w:rsid w:val="00E839F6"/>
    <w:rsid w:val="00E83CFA"/>
    <w:rsid w:val="00E8562C"/>
    <w:rsid w:val="00E8697A"/>
    <w:rsid w:val="00E874A2"/>
    <w:rsid w:val="00E9099D"/>
    <w:rsid w:val="00E912C9"/>
    <w:rsid w:val="00E92283"/>
    <w:rsid w:val="00E928E5"/>
    <w:rsid w:val="00E92B6D"/>
    <w:rsid w:val="00E93600"/>
    <w:rsid w:val="00E945DA"/>
    <w:rsid w:val="00E94640"/>
    <w:rsid w:val="00E94DA4"/>
    <w:rsid w:val="00E953E7"/>
    <w:rsid w:val="00E959E8"/>
    <w:rsid w:val="00E95BFE"/>
    <w:rsid w:val="00E95F32"/>
    <w:rsid w:val="00E9617D"/>
    <w:rsid w:val="00E9775A"/>
    <w:rsid w:val="00EA1555"/>
    <w:rsid w:val="00EA2758"/>
    <w:rsid w:val="00EA2ACD"/>
    <w:rsid w:val="00EA2D4E"/>
    <w:rsid w:val="00EA33F6"/>
    <w:rsid w:val="00EA3E8C"/>
    <w:rsid w:val="00EA4150"/>
    <w:rsid w:val="00EA5F7B"/>
    <w:rsid w:val="00EA67D5"/>
    <w:rsid w:val="00EA6B28"/>
    <w:rsid w:val="00EB010C"/>
    <w:rsid w:val="00EB05F4"/>
    <w:rsid w:val="00EB0EFB"/>
    <w:rsid w:val="00EB2DE2"/>
    <w:rsid w:val="00EB3039"/>
    <w:rsid w:val="00EB3373"/>
    <w:rsid w:val="00EB3834"/>
    <w:rsid w:val="00EB3DEC"/>
    <w:rsid w:val="00EB3F88"/>
    <w:rsid w:val="00EB4265"/>
    <w:rsid w:val="00EB4E96"/>
    <w:rsid w:val="00EB4ED3"/>
    <w:rsid w:val="00EB5566"/>
    <w:rsid w:val="00EB5EBD"/>
    <w:rsid w:val="00EB6284"/>
    <w:rsid w:val="00EB706B"/>
    <w:rsid w:val="00EB757E"/>
    <w:rsid w:val="00EB7A4F"/>
    <w:rsid w:val="00EC08CF"/>
    <w:rsid w:val="00EC0CDC"/>
    <w:rsid w:val="00EC1332"/>
    <w:rsid w:val="00EC2639"/>
    <w:rsid w:val="00EC276F"/>
    <w:rsid w:val="00EC33E1"/>
    <w:rsid w:val="00EC39EF"/>
    <w:rsid w:val="00EC485D"/>
    <w:rsid w:val="00EC6882"/>
    <w:rsid w:val="00EC6C6A"/>
    <w:rsid w:val="00ED139A"/>
    <w:rsid w:val="00ED1E09"/>
    <w:rsid w:val="00ED201F"/>
    <w:rsid w:val="00ED22C3"/>
    <w:rsid w:val="00ED2AF4"/>
    <w:rsid w:val="00ED2D40"/>
    <w:rsid w:val="00ED325E"/>
    <w:rsid w:val="00ED337F"/>
    <w:rsid w:val="00ED34A7"/>
    <w:rsid w:val="00ED4C10"/>
    <w:rsid w:val="00ED5A61"/>
    <w:rsid w:val="00ED5A6C"/>
    <w:rsid w:val="00ED6632"/>
    <w:rsid w:val="00ED668C"/>
    <w:rsid w:val="00ED6BF6"/>
    <w:rsid w:val="00ED749B"/>
    <w:rsid w:val="00ED7E10"/>
    <w:rsid w:val="00EE0183"/>
    <w:rsid w:val="00EE0AC7"/>
    <w:rsid w:val="00EE120E"/>
    <w:rsid w:val="00EE176C"/>
    <w:rsid w:val="00EE289E"/>
    <w:rsid w:val="00EE3466"/>
    <w:rsid w:val="00EE34F2"/>
    <w:rsid w:val="00EE43C8"/>
    <w:rsid w:val="00EE446B"/>
    <w:rsid w:val="00EE4599"/>
    <w:rsid w:val="00EE478B"/>
    <w:rsid w:val="00EE54C4"/>
    <w:rsid w:val="00EE751C"/>
    <w:rsid w:val="00EE78F6"/>
    <w:rsid w:val="00EF04A6"/>
    <w:rsid w:val="00EF0711"/>
    <w:rsid w:val="00EF0F36"/>
    <w:rsid w:val="00EF22C8"/>
    <w:rsid w:val="00EF2635"/>
    <w:rsid w:val="00EF26D5"/>
    <w:rsid w:val="00EF4262"/>
    <w:rsid w:val="00EF466D"/>
    <w:rsid w:val="00EF4E2B"/>
    <w:rsid w:val="00EF5C3F"/>
    <w:rsid w:val="00EF5E40"/>
    <w:rsid w:val="00EF604F"/>
    <w:rsid w:val="00EF7753"/>
    <w:rsid w:val="00EF7F10"/>
    <w:rsid w:val="00F026BD"/>
    <w:rsid w:val="00F02B8F"/>
    <w:rsid w:val="00F039FC"/>
    <w:rsid w:val="00F0403A"/>
    <w:rsid w:val="00F04D1D"/>
    <w:rsid w:val="00F061C4"/>
    <w:rsid w:val="00F0661A"/>
    <w:rsid w:val="00F0703C"/>
    <w:rsid w:val="00F10C31"/>
    <w:rsid w:val="00F119CF"/>
    <w:rsid w:val="00F11B71"/>
    <w:rsid w:val="00F120EB"/>
    <w:rsid w:val="00F1357D"/>
    <w:rsid w:val="00F13765"/>
    <w:rsid w:val="00F13BC3"/>
    <w:rsid w:val="00F147DC"/>
    <w:rsid w:val="00F159E8"/>
    <w:rsid w:val="00F15B11"/>
    <w:rsid w:val="00F15E67"/>
    <w:rsid w:val="00F16259"/>
    <w:rsid w:val="00F16341"/>
    <w:rsid w:val="00F20979"/>
    <w:rsid w:val="00F222DC"/>
    <w:rsid w:val="00F223D7"/>
    <w:rsid w:val="00F23263"/>
    <w:rsid w:val="00F2354F"/>
    <w:rsid w:val="00F2454B"/>
    <w:rsid w:val="00F24ABF"/>
    <w:rsid w:val="00F252DB"/>
    <w:rsid w:val="00F25679"/>
    <w:rsid w:val="00F26105"/>
    <w:rsid w:val="00F26369"/>
    <w:rsid w:val="00F26B57"/>
    <w:rsid w:val="00F26DB5"/>
    <w:rsid w:val="00F27068"/>
    <w:rsid w:val="00F27875"/>
    <w:rsid w:val="00F30E75"/>
    <w:rsid w:val="00F30E8D"/>
    <w:rsid w:val="00F31A44"/>
    <w:rsid w:val="00F31FFD"/>
    <w:rsid w:val="00F336E0"/>
    <w:rsid w:val="00F34BD5"/>
    <w:rsid w:val="00F3502C"/>
    <w:rsid w:val="00F368FF"/>
    <w:rsid w:val="00F36C98"/>
    <w:rsid w:val="00F40E28"/>
    <w:rsid w:val="00F423FA"/>
    <w:rsid w:val="00F43F34"/>
    <w:rsid w:val="00F4466C"/>
    <w:rsid w:val="00F44678"/>
    <w:rsid w:val="00F47514"/>
    <w:rsid w:val="00F5025A"/>
    <w:rsid w:val="00F5082F"/>
    <w:rsid w:val="00F5170C"/>
    <w:rsid w:val="00F51C32"/>
    <w:rsid w:val="00F51E32"/>
    <w:rsid w:val="00F53F22"/>
    <w:rsid w:val="00F54AC8"/>
    <w:rsid w:val="00F55F73"/>
    <w:rsid w:val="00F57025"/>
    <w:rsid w:val="00F60229"/>
    <w:rsid w:val="00F60887"/>
    <w:rsid w:val="00F63D9C"/>
    <w:rsid w:val="00F654F9"/>
    <w:rsid w:val="00F66863"/>
    <w:rsid w:val="00F66F10"/>
    <w:rsid w:val="00F67046"/>
    <w:rsid w:val="00F67D09"/>
    <w:rsid w:val="00F67D50"/>
    <w:rsid w:val="00F7023C"/>
    <w:rsid w:val="00F70E31"/>
    <w:rsid w:val="00F712D0"/>
    <w:rsid w:val="00F7136A"/>
    <w:rsid w:val="00F71655"/>
    <w:rsid w:val="00F723A2"/>
    <w:rsid w:val="00F724AC"/>
    <w:rsid w:val="00F74A14"/>
    <w:rsid w:val="00F74BF2"/>
    <w:rsid w:val="00F74FBC"/>
    <w:rsid w:val="00F74FDE"/>
    <w:rsid w:val="00F7548D"/>
    <w:rsid w:val="00F76B7B"/>
    <w:rsid w:val="00F76C92"/>
    <w:rsid w:val="00F773B7"/>
    <w:rsid w:val="00F77F9F"/>
    <w:rsid w:val="00F802B6"/>
    <w:rsid w:val="00F80491"/>
    <w:rsid w:val="00F811CC"/>
    <w:rsid w:val="00F81771"/>
    <w:rsid w:val="00F81B14"/>
    <w:rsid w:val="00F82028"/>
    <w:rsid w:val="00F82E01"/>
    <w:rsid w:val="00F83056"/>
    <w:rsid w:val="00F8389C"/>
    <w:rsid w:val="00F83EC2"/>
    <w:rsid w:val="00F84A63"/>
    <w:rsid w:val="00F85BF0"/>
    <w:rsid w:val="00F85CEB"/>
    <w:rsid w:val="00F86AF8"/>
    <w:rsid w:val="00F87300"/>
    <w:rsid w:val="00F877B7"/>
    <w:rsid w:val="00F877FB"/>
    <w:rsid w:val="00F91A29"/>
    <w:rsid w:val="00F91A7B"/>
    <w:rsid w:val="00F91A7D"/>
    <w:rsid w:val="00F92224"/>
    <w:rsid w:val="00F928A0"/>
    <w:rsid w:val="00F93779"/>
    <w:rsid w:val="00F94718"/>
    <w:rsid w:val="00F956FD"/>
    <w:rsid w:val="00F9631F"/>
    <w:rsid w:val="00F96AFE"/>
    <w:rsid w:val="00F972AE"/>
    <w:rsid w:val="00F97324"/>
    <w:rsid w:val="00F97B06"/>
    <w:rsid w:val="00FA0583"/>
    <w:rsid w:val="00FA1360"/>
    <w:rsid w:val="00FA2B60"/>
    <w:rsid w:val="00FA2CC6"/>
    <w:rsid w:val="00FA2CE3"/>
    <w:rsid w:val="00FA33C5"/>
    <w:rsid w:val="00FA3991"/>
    <w:rsid w:val="00FA4AF3"/>
    <w:rsid w:val="00FA4C70"/>
    <w:rsid w:val="00FA5CD3"/>
    <w:rsid w:val="00FA5F42"/>
    <w:rsid w:val="00FA6234"/>
    <w:rsid w:val="00FA644E"/>
    <w:rsid w:val="00FA65EA"/>
    <w:rsid w:val="00FA7DE1"/>
    <w:rsid w:val="00FB0E17"/>
    <w:rsid w:val="00FB0F26"/>
    <w:rsid w:val="00FB1F78"/>
    <w:rsid w:val="00FB2234"/>
    <w:rsid w:val="00FB22EC"/>
    <w:rsid w:val="00FB3172"/>
    <w:rsid w:val="00FB37AE"/>
    <w:rsid w:val="00FB3DAF"/>
    <w:rsid w:val="00FB49DD"/>
    <w:rsid w:val="00FB51B9"/>
    <w:rsid w:val="00FB58A6"/>
    <w:rsid w:val="00FB63D9"/>
    <w:rsid w:val="00FB74CC"/>
    <w:rsid w:val="00FB7515"/>
    <w:rsid w:val="00FB7A7B"/>
    <w:rsid w:val="00FC01AA"/>
    <w:rsid w:val="00FC0355"/>
    <w:rsid w:val="00FC0B20"/>
    <w:rsid w:val="00FC0F5D"/>
    <w:rsid w:val="00FC0FAA"/>
    <w:rsid w:val="00FC12A8"/>
    <w:rsid w:val="00FC16D3"/>
    <w:rsid w:val="00FC25A4"/>
    <w:rsid w:val="00FC2CDF"/>
    <w:rsid w:val="00FC3515"/>
    <w:rsid w:val="00FC3BE5"/>
    <w:rsid w:val="00FC41E7"/>
    <w:rsid w:val="00FC44DF"/>
    <w:rsid w:val="00FC50D9"/>
    <w:rsid w:val="00FC5637"/>
    <w:rsid w:val="00FC5A2B"/>
    <w:rsid w:val="00FC7CE8"/>
    <w:rsid w:val="00FD0133"/>
    <w:rsid w:val="00FD05AC"/>
    <w:rsid w:val="00FD0B92"/>
    <w:rsid w:val="00FD13A5"/>
    <w:rsid w:val="00FD1523"/>
    <w:rsid w:val="00FD1874"/>
    <w:rsid w:val="00FD2851"/>
    <w:rsid w:val="00FD4215"/>
    <w:rsid w:val="00FD4F30"/>
    <w:rsid w:val="00FD6885"/>
    <w:rsid w:val="00FE0746"/>
    <w:rsid w:val="00FE0870"/>
    <w:rsid w:val="00FE24AB"/>
    <w:rsid w:val="00FE261F"/>
    <w:rsid w:val="00FE33C6"/>
    <w:rsid w:val="00FE3BF9"/>
    <w:rsid w:val="00FE43D4"/>
    <w:rsid w:val="00FE44A2"/>
    <w:rsid w:val="00FE4631"/>
    <w:rsid w:val="00FE5B7D"/>
    <w:rsid w:val="00FE62EA"/>
    <w:rsid w:val="00FE77B2"/>
    <w:rsid w:val="00FF0236"/>
    <w:rsid w:val="00FF0C58"/>
    <w:rsid w:val="00FF13AB"/>
    <w:rsid w:val="00FF1455"/>
    <w:rsid w:val="00FF14C6"/>
    <w:rsid w:val="00FF1969"/>
    <w:rsid w:val="00FF19BD"/>
    <w:rsid w:val="00FF2627"/>
    <w:rsid w:val="00FF2CC9"/>
    <w:rsid w:val="00FF43B8"/>
    <w:rsid w:val="00FF531C"/>
    <w:rsid w:val="00FF5476"/>
    <w:rsid w:val="00FF54F2"/>
    <w:rsid w:val="00FF5646"/>
    <w:rsid w:val="00FF6008"/>
    <w:rsid w:val="00FF69AC"/>
    <w:rsid w:val="00FF6E05"/>
    <w:rsid w:val="00FF7DC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66ABAD"/>
  <w15:docId w15:val="{98A4867A-5A3A-468E-937E-B2EAA3D5D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36FC5"/>
    <w:rPr>
      <w:sz w:val="24"/>
      <w:szCs w:val="24"/>
    </w:rPr>
  </w:style>
  <w:style w:type="paragraph" w:styleId="Titolo1">
    <w:name w:val="heading 1"/>
    <w:aliases w:val=" Carattere"/>
    <w:basedOn w:val="Normale"/>
    <w:link w:val="Titolo1Carattere1"/>
    <w:qFormat/>
    <w:rsid w:val="00FF1969"/>
    <w:pPr>
      <w:spacing w:before="100" w:beforeAutospacing="1" w:after="100" w:afterAutospacing="1"/>
      <w:outlineLvl w:val="0"/>
    </w:pPr>
    <w:rPr>
      <w:b/>
      <w:bCs/>
      <w:kern w:val="36"/>
      <w:sz w:val="48"/>
      <w:szCs w:val="48"/>
    </w:rPr>
  </w:style>
  <w:style w:type="paragraph" w:styleId="Titolo2">
    <w:name w:val="heading 2"/>
    <w:basedOn w:val="Normale"/>
    <w:next w:val="Normale"/>
    <w:link w:val="Titolo2Carattere"/>
    <w:unhideWhenUsed/>
    <w:qFormat/>
    <w:rsid w:val="00890A05"/>
    <w:pPr>
      <w:keepNext/>
      <w:spacing w:before="240" w:after="60"/>
      <w:outlineLvl w:val="1"/>
    </w:pPr>
    <w:rPr>
      <w:rFonts w:ascii="Cambria" w:hAnsi="Cambria"/>
      <w:b/>
      <w:bCs/>
      <w:i/>
      <w:iCs/>
      <w:sz w:val="28"/>
      <w:szCs w:val="28"/>
    </w:rPr>
  </w:style>
  <w:style w:type="paragraph" w:styleId="Titolo3">
    <w:name w:val="heading 3"/>
    <w:basedOn w:val="Normale"/>
    <w:link w:val="Titolo3Carattere"/>
    <w:qFormat/>
    <w:rsid w:val="00FF1969"/>
    <w:pPr>
      <w:spacing w:before="100" w:beforeAutospacing="1" w:after="100" w:afterAutospacing="1"/>
      <w:outlineLvl w:val="2"/>
    </w:pPr>
    <w:rPr>
      <w:b/>
      <w:bCs/>
      <w:sz w:val="27"/>
      <w:szCs w:val="27"/>
    </w:rPr>
  </w:style>
  <w:style w:type="paragraph" w:styleId="Titolo4">
    <w:name w:val="heading 4"/>
    <w:basedOn w:val="Normale"/>
    <w:next w:val="Normale"/>
    <w:link w:val="Titolo4Carattere"/>
    <w:qFormat/>
    <w:rsid w:val="003113F5"/>
    <w:pPr>
      <w:keepNext/>
      <w:tabs>
        <w:tab w:val="right" w:leader="dot" w:pos="7371"/>
      </w:tabs>
      <w:spacing w:before="240" w:after="60"/>
      <w:outlineLvl w:val="3"/>
    </w:pPr>
    <w:rPr>
      <w:b/>
      <w:bCs/>
      <w:sz w:val="28"/>
      <w:szCs w:val="28"/>
    </w:rPr>
  </w:style>
  <w:style w:type="paragraph" w:styleId="Titolo5">
    <w:name w:val="heading 5"/>
    <w:basedOn w:val="Normale"/>
    <w:next w:val="Normale"/>
    <w:link w:val="Titolo5Carattere"/>
    <w:qFormat/>
    <w:rsid w:val="003113F5"/>
    <w:pPr>
      <w:tabs>
        <w:tab w:val="right" w:leader="dot" w:pos="7371"/>
      </w:tabs>
      <w:spacing w:before="240" w:after="60"/>
      <w:outlineLvl w:val="4"/>
    </w:pPr>
    <w:rPr>
      <w:b/>
      <w:bCs/>
      <w:i/>
      <w:iCs/>
      <w:sz w:val="26"/>
      <w:szCs w:val="26"/>
    </w:rPr>
  </w:style>
  <w:style w:type="paragraph" w:styleId="Titolo6">
    <w:name w:val="heading 6"/>
    <w:basedOn w:val="Normale"/>
    <w:next w:val="Normale"/>
    <w:link w:val="Titolo6Carattere"/>
    <w:qFormat/>
    <w:rsid w:val="003113F5"/>
    <w:pPr>
      <w:keepNext/>
      <w:tabs>
        <w:tab w:val="right" w:leader="dot" w:pos="7371"/>
      </w:tabs>
      <w:outlineLvl w:val="5"/>
    </w:pPr>
    <w:rPr>
      <w:rFonts w:ascii="Arial" w:hAnsi="Arial"/>
      <w:b/>
      <w:color w:val="000000"/>
      <w:sz w:val="14"/>
      <w:szCs w:val="20"/>
    </w:rPr>
  </w:style>
  <w:style w:type="paragraph" w:styleId="Titolo7">
    <w:name w:val="heading 7"/>
    <w:basedOn w:val="Normale"/>
    <w:next w:val="Normale"/>
    <w:link w:val="Titolo7Carattere"/>
    <w:qFormat/>
    <w:rsid w:val="003113F5"/>
    <w:pPr>
      <w:keepNext/>
      <w:tabs>
        <w:tab w:val="right" w:leader="dot" w:pos="7371"/>
      </w:tabs>
      <w:spacing w:after="120"/>
      <w:ind w:left="284" w:right="284"/>
      <w:jc w:val="both"/>
      <w:outlineLvl w:val="6"/>
    </w:pPr>
    <w:rPr>
      <w:rFonts w:ascii="Arial" w:hAnsi="Arial"/>
      <w:b/>
      <w:color w:val="000000"/>
      <w:sz w:val="18"/>
      <w:szCs w:val="20"/>
    </w:rPr>
  </w:style>
  <w:style w:type="paragraph" w:styleId="Titolo8">
    <w:name w:val="heading 8"/>
    <w:basedOn w:val="Normale"/>
    <w:next w:val="Normale"/>
    <w:link w:val="Titolo8Carattere"/>
    <w:qFormat/>
    <w:rsid w:val="003113F5"/>
    <w:pPr>
      <w:keepNext/>
      <w:tabs>
        <w:tab w:val="right" w:leader="dot" w:pos="7371"/>
      </w:tabs>
      <w:ind w:left="284" w:right="284"/>
      <w:jc w:val="both"/>
      <w:outlineLvl w:val="7"/>
    </w:pPr>
    <w:rPr>
      <w:rFonts w:ascii="Arial" w:hAnsi="Arial"/>
      <w:b/>
      <w:sz w:val="18"/>
      <w:szCs w:val="20"/>
    </w:rPr>
  </w:style>
  <w:style w:type="paragraph" w:styleId="Titolo9">
    <w:name w:val="heading 9"/>
    <w:basedOn w:val="Normale"/>
    <w:next w:val="Normale"/>
    <w:link w:val="Titolo9Carattere"/>
    <w:qFormat/>
    <w:rsid w:val="003113F5"/>
    <w:pPr>
      <w:keepNext/>
      <w:tabs>
        <w:tab w:val="right" w:leader="dot" w:pos="7371"/>
      </w:tabs>
      <w:ind w:left="-70"/>
      <w:outlineLvl w:val="8"/>
    </w:pPr>
    <w:rPr>
      <w:rFonts w:ascii="Arial" w:hAnsi="Arial"/>
      <w:b/>
      <w:sz w:val="1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style-span">
    <w:name w:val="apple-style-span"/>
    <w:basedOn w:val="Carpredefinitoparagrafo"/>
    <w:rsid w:val="00FF1969"/>
  </w:style>
  <w:style w:type="paragraph" w:styleId="NormaleWeb">
    <w:name w:val="Normal (Web)"/>
    <w:basedOn w:val="Normale"/>
    <w:uiPriority w:val="99"/>
    <w:rsid w:val="00FF1969"/>
    <w:pPr>
      <w:spacing w:before="100" w:beforeAutospacing="1" w:after="100" w:afterAutospacing="1"/>
    </w:pPr>
  </w:style>
  <w:style w:type="character" w:customStyle="1" w:styleId="apple-converted-space">
    <w:name w:val="apple-converted-space"/>
    <w:basedOn w:val="Carpredefinitoparagrafo"/>
    <w:rsid w:val="00FF1969"/>
  </w:style>
  <w:style w:type="paragraph" w:styleId="Testonotaapidipagina">
    <w:name w:val="footnote text"/>
    <w:aliases w:val="Footnote,Footnote1,Footnote2,Footnote3,Footnote4,Footnote5,Footnote6,Footnote7,Footnote8,Footnote9,Footnote10,Footnote11,Footnote21,Footnote31,Footnote41,Footnote51,Footnote61,Footnote71,Footnote81,Footnote91,Footnote12"/>
    <w:basedOn w:val="Normale"/>
    <w:link w:val="TestonotaapidipaginaCarattere"/>
    <w:rsid w:val="00E9099D"/>
    <w:rPr>
      <w:rFonts w:ascii="Arial" w:hAnsi="Arial" w:cs="Arial"/>
      <w:color w:val="000000"/>
      <w:sz w:val="20"/>
      <w:szCs w:val="20"/>
    </w:rPr>
  </w:style>
  <w:style w:type="character" w:styleId="Rimandonotaapidipagina">
    <w:name w:val="footnote reference"/>
    <w:aliases w:val="Inf_Note a piè di pagina,Rimando nota a piè di pagina_relazione"/>
    <w:uiPriority w:val="99"/>
    <w:rsid w:val="00E9099D"/>
    <w:rPr>
      <w:vertAlign w:val="superscript"/>
    </w:rPr>
  </w:style>
  <w:style w:type="paragraph" w:customStyle="1" w:styleId="Default">
    <w:name w:val="Default"/>
    <w:rsid w:val="00E9099D"/>
    <w:pPr>
      <w:autoSpaceDE w:val="0"/>
      <w:autoSpaceDN w:val="0"/>
      <w:adjustRightInd w:val="0"/>
    </w:pPr>
    <w:rPr>
      <w:rFonts w:ascii="Arial" w:hAnsi="Arial" w:cs="Arial"/>
      <w:color w:val="000000"/>
      <w:sz w:val="24"/>
      <w:szCs w:val="24"/>
    </w:rPr>
  </w:style>
  <w:style w:type="character" w:customStyle="1" w:styleId="testo1">
    <w:name w:val="testo1"/>
    <w:rsid w:val="00E9099D"/>
    <w:rPr>
      <w:rFonts w:ascii="Verdana" w:hAnsi="Verdana" w:cs="Verdana"/>
      <w:color w:val="000000"/>
      <w:sz w:val="21"/>
      <w:szCs w:val="21"/>
    </w:rPr>
  </w:style>
  <w:style w:type="character" w:styleId="Collegamentoipertestuale">
    <w:name w:val="Hyperlink"/>
    <w:uiPriority w:val="99"/>
    <w:rsid w:val="00441A1E"/>
    <w:rPr>
      <w:color w:val="0000FF"/>
      <w:u w:val="single"/>
    </w:rPr>
  </w:style>
  <w:style w:type="paragraph" w:styleId="Pidipagina">
    <w:name w:val="footer"/>
    <w:basedOn w:val="Normale"/>
    <w:link w:val="PidipaginaCarattere"/>
    <w:rsid w:val="00104ABF"/>
    <w:pPr>
      <w:tabs>
        <w:tab w:val="center" w:pos="4819"/>
        <w:tab w:val="right" w:pos="9638"/>
      </w:tabs>
    </w:pPr>
  </w:style>
  <w:style w:type="character" w:styleId="Numeropagina">
    <w:name w:val="page number"/>
    <w:basedOn w:val="Carpredefinitoparagrafo"/>
    <w:rsid w:val="00104ABF"/>
  </w:style>
  <w:style w:type="paragraph" w:styleId="Intestazione">
    <w:name w:val="header"/>
    <w:basedOn w:val="Normale"/>
    <w:link w:val="IntestazioneCarattere"/>
    <w:rsid w:val="00633124"/>
    <w:pPr>
      <w:tabs>
        <w:tab w:val="center" w:pos="4819"/>
        <w:tab w:val="right" w:pos="9638"/>
      </w:tabs>
    </w:pPr>
  </w:style>
  <w:style w:type="paragraph" w:styleId="Didascalia">
    <w:name w:val="caption"/>
    <w:basedOn w:val="Normale"/>
    <w:next w:val="Normale"/>
    <w:unhideWhenUsed/>
    <w:qFormat/>
    <w:rsid w:val="003959C9"/>
    <w:rPr>
      <w:b/>
      <w:bCs/>
      <w:sz w:val="20"/>
      <w:szCs w:val="20"/>
    </w:rPr>
  </w:style>
  <w:style w:type="character" w:customStyle="1" w:styleId="PidipaginaCarattere">
    <w:name w:val="Piè di pagina Carattere"/>
    <w:basedOn w:val="Carpredefinitoparagrafo"/>
    <w:link w:val="Pidipagina"/>
    <w:uiPriority w:val="99"/>
    <w:rsid w:val="0086275B"/>
    <w:rPr>
      <w:sz w:val="24"/>
      <w:szCs w:val="24"/>
    </w:rPr>
  </w:style>
  <w:style w:type="paragraph" w:styleId="Testofumetto">
    <w:name w:val="Balloon Text"/>
    <w:basedOn w:val="Normale"/>
    <w:link w:val="TestofumettoCarattere"/>
    <w:uiPriority w:val="99"/>
    <w:rsid w:val="0086275B"/>
    <w:rPr>
      <w:rFonts w:ascii="Tahoma" w:hAnsi="Tahoma" w:cs="Tahoma"/>
      <w:sz w:val="16"/>
      <w:szCs w:val="16"/>
    </w:rPr>
  </w:style>
  <w:style w:type="character" w:customStyle="1" w:styleId="TestofumettoCarattere">
    <w:name w:val="Testo fumetto Carattere"/>
    <w:basedOn w:val="Carpredefinitoparagrafo"/>
    <w:link w:val="Testofumetto"/>
    <w:uiPriority w:val="99"/>
    <w:rsid w:val="0086275B"/>
    <w:rPr>
      <w:rFonts w:ascii="Tahoma" w:hAnsi="Tahoma" w:cs="Tahoma"/>
      <w:sz w:val="16"/>
      <w:szCs w:val="16"/>
    </w:rPr>
  </w:style>
  <w:style w:type="character" w:customStyle="1" w:styleId="Titolo2Carattere">
    <w:name w:val="Titolo 2 Carattere"/>
    <w:basedOn w:val="Carpredefinitoparagrafo"/>
    <w:link w:val="Titolo2"/>
    <w:semiHidden/>
    <w:rsid w:val="00890A05"/>
    <w:rPr>
      <w:rFonts w:ascii="Cambria" w:eastAsia="Times New Roman" w:hAnsi="Cambria" w:cs="Times New Roman"/>
      <w:b/>
      <w:bCs/>
      <w:i/>
      <w:iCs/>
      <w:sz w:val="28"/>
      <w:szCs w:val="28"/>
    </w:rPr>
  </w:style>
  <w:style w:type="paragraph" w:styleId="Rientrocorpodeltesto">
    <w:name w:val="Body Text Indent"/>
    <w:basedOn w:val="Normale"/>
    <w:link w:val="RientrocorpodeltestoCarattere"/>
    <w:rsid w:val="00200B31"/>
    <w:pPr>
      <w:widowControl w:val="0"/>
      <w:tabs>
        <w:tab w:val="left" w:pos="-1800"/>
        <w:tab w:val="left" w:pos="-1092"/>
        <w:tab w:val="left" w:pos="-384"/>
        <w:tab w:val="left" w:pos="324"/>
        <w:tab w:val="left" w:pos="1032"/>
        <w:tab w:val="left" w:pos="1740"/>
        <w:tab w:val="left" w:pos="2454"/>
        <w:tab w:val="left" w:pos="3162"/>
        <w:tab w:val="left" w:pos="3870"/>
        <w:tab w:val="left" w:pos="4578"/>
        <w:tab w:val="left" w:pos="5286"/>
        <w:tab w:val="left" w:pos="5994"/>
        <w:tab w:val="left" w:pos="6708"/>
        <w:tab w:val="left" w:pos="7416"/>
        <w:tab w:val="left" w:pos="8124"/>
      </w:tabs>
      <w:ind w:firstLine="323"/>
      <w:jc w:val="both"/>
    </w:pPr>
    <w:rPr>
      <w:rFonts w:ascii="Arial" w:hAnsi="Arial"/>
      <w:sz w:val="20"/>
      <w:szCs w:val="20"/>
    </w:rPr>
  </w:style>
  <w:style w:type="character" w:customStyle="1" w:styleId="RientrocorpodeltestoCarattere">
    <w:name w:val="Rientro corpo del testo Carattere"/>
    <w:basedOn w:val="Carpredefinitoparagrafo"/>
    <w:link w:val="Rientrocorpodeltesto"/>
    <w:rsid w:val="00200B31"/>
    <w:rPr>
      <w:rFonts w:ascii="Arial" w:hAnsi="Arial"/>
    </w:rPr>
  </w:style>
  <w:style w:type="paragraph" w:styleId="Rientrocorpodeltesto3">
    <w:name w:val="Body Text Indent 3"/>
    <w:basedOn w:val="Normale"/>
    <w:link w:val="Rientrocorpodeltesto3Carattere"/>
    <w:rsid w:val="00200B31"/>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200B31"/>
    <w:rPr>
      <w:sz w:val="16"/>
      <w:szCs w:val="16"/>
    </w:rPr>
  </w:style>
  <w:style w:type="character" w:customStyle="1" w:styleId="Titolo4Carattere">
    <w:name w:val="Titolo 4 Carattere"/>
    <w:basedOn w:val="Carpredefinitoparagrafo"/>
    <w:link w:val="Titolo4"/>
    <w:rsid w:val="003113F5"/>
    <w:rPr>
      <w:b/>
      <w:bCs/>
      <w:sz w:val="28"/>
      <w:szCs w:val="28"/>
    </w:rPr>
  </w:style>
  <w:style w:type="character" w:customStyle="1" w:styleId="Titolo5Carattere">
    <w:name w:val="Titolo 5 Carattere"/>
    <w:basedOn w:val="Carpredefinitoparagrafo"/>
    <w:link w:val="Titolo5"/>
    <w:rsid w:val="003113F5"/>
    <w:rPr>
      <w:b/>
      <w:bCs/>
      <w:i/>
      <w:iCs/>
      <w:sz w:val="26"/>
      <w:szCs w:val="26"/>
    </w:rPr>
  </w:style>
  <w:style w:type="character" w:customStyle="1" w:styleId="Titolo6Carattere">
    <w:name w:val="Titolo 6 Carattere"/>
    <w:basedOn w:val="Carpredefinitoparagrafo"/>
    <w:link w:val="Titolo6"/>
    <w:rsid w:val="003113F5"/>
    <w:rPr>
      <w:rFonts w:ascii="Arial" w:hAnsi="Arial"/>
      <w:b/>
      <w:color w:val="000000"/>
      <w:sz w:val="14"/>
    </w:rPr>
  </w:style>
  <w:style w:type="character" w:customStyle="1" w:styleId="Titolo7Carattere">
    <w:name w:val="Titolo 7 Carattere"/>
    <w:basedOn w:val="Carpredefinitoparagrafo"/>
    <w:link w:val="Titolo7"/>
    <w:rsid w:val="003113F5"/>
    <w:rPr>
      <w:rFonts w:ascii="Arial" w:hAnsi="Arial"/>
      <w:b/>
      <w:color w:val="000000"/>
      <w:sz w:val="18"/>
    </w:rPr>
  </w:style>
  <w:style w:type="character" w:customStyle="1" w:styleId="Titolo8Carattere">
    <w:name w:val="Titolo 8 Carattere"/>
    <w:basedOn w:val="Carpredefinitoparagrafo"/>
    <w:link w:val="Titolo8"/>
    <w:rsid w:val="003113F5"/>
    <w:rPr>
      <w:rFonts w:ascii="Arial" w:hAnsi="Arial"/>
      <w:b/>
      <w:sz w:val="18"/>
    </w:rPr>
  </w:style>
  <w:style w:type="character" w:customStyle="1" w:styleId="Titolo9Carattere">
    <w:name w:val="Titolo 9 Carattere"/>
    <w:basedOn w:val="Carpredefinitoparagrafo"/>
    <w:link w:val="Titolo9"/>
    <w:rsid w:val="003113F5"/>
    <w:rPr>
      <w:rFonts w:ascii="Arial" w:hAnsi="Arial"/>
      <w:b/>
      <w:sz w:val="14"/>
    </w:rPr>
  </w:style>
  <w:style w:type="paragraph" w:styleId="Puntoelenco">
    <w:name w:val="List Bullet"/>
    <w:basedOn w:val="Normale"/>
    <w:autoRedefine/>
    <w:rsid w:val="003113F5"/>
    <w:pPr>
      <w:tabs>
        <w:tab w:val="num" w:pos="360"/>
        <w:tab w:val="right" w:leader="dot" w:pos="7371"/>
      </w:tabs>
      <w:ind w:left="360" w:hanging="360"/>
      <w:jc w:val="both"/>
    </w:pPr>
    <w:rPr>
      <w:rFonts w:ascii="Arial" w:hAnsi="Arial"/>
      <w:sz w:val="22"/>
      <w:szCs w:val="22"/>
    </w:rPr>
  </w:style>
  <w:style w:type="paragraph" w:styleId="Puntoelenco2">
    <w:name w:val="List Bullet 2"/>
    <w:basedOn w:val="Normale"/>
    <w:autoRedefine/>
    <w:rsid w:val="003113F5"/>
    <w:pPr>
      <w:tabs>
        <w:tab w:val="num" w:pos="360"/>
        <w:tab w:val="right" w:leader="dot" w:pos="7371"/>
      </w:tabs>
      <w:ind w:left="360" w:hanging="360"/>
      <w:jc w:val="both"/>
    </w:pPr>
    <w:rPr>
      <w:rFonts w:ascii="Arial" w:hAnsi="Arial"/>
      <w:sz w:val="22"/>
      <w:szCs w:val="22"/>
    </w:rPr>
  </w:style>
  <w:style w:type="paragraph" w:styleId="Puntoelenco3">
    <w:name w:val="List Bullet 3"/>
    <w:basedOn w:val="Normale"/>
    <w:autoRedefine/>
    <w:rsid w:val="003113F5"/>
    <w:pPr>
      <w:keepNext/>
      <w:keepLines/>
      <w:widowControl w:val="0"/>
      <w:tabs>
        <w:tab w:val="right" w:leader="dot" w:pos="7371"/>
      </w:tabs>
      <w:spacing w:before="20" w:after="20"/>
      <w:jc w:val="both"/>
    </w:pPr>
    <w:rPr>
      <w:rFonts w:ascii="Arial" w:hAnsi="Arial"/>
      <w:sz w:val="14"/>
      <w:szCs w:val="22"/>
    </w:rPr>
  </w:style>
  <w:style w:type="paragraph" w:customStyle="1" w:styleId="tittav">
    <w:name w:val="tit_tav"/>
    <w:basedOn w:val="Normale"/>
    <w:semiHidden/>
    <w:rsid w:val="003113F5"/>
    <w:pPr>
      <w:tabs>
        <w:tab w:val="right" w:leader="dot" w:pos="7371"/>
      </w:tabs>
      <w:spacing w:after="120"/>
      <w:jc w:val="both"/>
    </w:pPr>
    <w:rPr>
      <w:rFonts w:ascii="Arial" w:hAnsi="Arial"/>
      <w:b/>
      <w:i/>
      <w:sz w:val="20"/>
      <w:szCs w:val="22"/>
    </w:rPr>
  </w:style>
  <w:style w:type="paragraph" w:styleId="Titolo">
    <w:name w:val="Title"/>
    <w:basedOn w:val="Normale"/>
    <w:link w:val="TitoloCarattere"/>
    <w:qFormat/>
    <w:rsid w:val="003113F5"/>
    <w:pPr>
      <w:tabs>
        <w:tab w:val="right" w:leader="dot" w:pos="7371"/>
      </w:tabs>
      <w:jc w:val="center"/>
    </w:pPr>
    <w:rPr>
      <w:b/>
      <w:sz w:val="22"/>
      <w:szCs w:val="20"/>
    </w:rPr>
  </w:style>
  <w:style w:type="character" w:customStyle="1" w:styleId="TitoloCarattere">
    <w:name w:val="Titolo Carattere"/>
    <w:basedOn w:val="Carpredefinitoparagrafo"/>
    <w:link w:val="Titolo"/>
    <w:rsid w:val="003113F5"/>
    <w:rPr>
      <w:b/>
      <w:sz w:val="22"/>
    </w:rPr>
  </w:style>
  <w:style w:type="paragraph" w:customStyle="1" w:styleId="xl43">
    <w:name w:val="xl43"/>
    <w:basedOn w:val="Normale"/>
    <w:semiHidden/>
    <w:rsid w:val="003113F5"/>
    <w:pPr>
      <w:tabs>
        <w:tab w:val="right" w:leader="dot" w:pos="7371"/>
      </w:tabs>
      <w:spacing w:before="100" w:beforeAutospacing="1" w:after="100" w:afterAutospacing="1"/>
      <w:jc w:val="center"/>
    </w:pPr>
    <w:rPr>
      <w:rFonts w:ascii="Arial" w:eastAsia="Arial Unicode MS" w:hAnsi="Arial" w:cs="Arial"/>
      <w:sz w:val="14"/>
      <w:szCs w:val="14"/>
    </w:rPr>
  </w:style>
  <w:style w:type="paragraph" w:styleId="Testonormale">
    <w:name w:val="Plain Text"/>
    <w:basedOn w:val="Normale"/>
    <w:link w:val="TestonormaleCarattere"/>
    <w:rsid w:val="003113F5"/>
    <w:pPr>
      <w:tabs>
        <w:tab w:val="right" w:leader="dot" w:pos="7371"/>
      </w:tabs>
    </w:pPr>
    <w:rPr>
      <w:rFonts w:ascii="Courier New" w:hAnsi="Courier New"/>
      <w:sz w:val="20"/>
      <w:szCs w:val="20"/>
    </w:rPr>
  </w:style>
  <w:style w:type="character" w:customStyle="1" w:styleId="TestonormaleCarattere">
    <w:name w:val="Testo normale Carattere"/>
    <w:basedOn w:val="Carpredefinitoparagrafo"/>
    <w:link w:val="Testonormale"/>
    <w:rsid w:val="003113F5"/>
    <w:rPr>
      <w:rFonts w:ascii="Courier New" w:hAnsi="Courier New"/>
    </w:rPr>
  </w:style>
  <w:style w:type="paragraph" w:customStyle="1" w:styleId="xl22">
    <w:name w:val="xl22"/>
    <w:basedOn w:val="Normale"/>
    <w:semiHidden/>
    <w:rsid w:val="003113F5"/>
    <w:pPr>
      <w:tabs>
        <w:tab w:val="right" w:leader="dot" w:pos="7371"/>
      </w:tabs>
      <w:spacing w:before="100" w:beforeAutospacing="1" w:after="100" w:afterAutospacing="1"/>
      <w:jc w:val="right"/>
    </w:pPr>
    <w:rPr>
      <w:rFonts w:ascii="Arial" w:eastAsia="Arial Unicode MS" w:hAnsi="Arial" w:cs="Arial"/>
      <w:sz w:val="14"/>
      <w:szCs w:val="14"/>
    </w:rPr>
  </w:style>
  <w:style w:type="paragraph" w:customStyle="1" w:styleId="xl44">
    <w:name w:val="xl44"/>
    <w:basedOn w:val="Normale"/>
    <w:semiHidden/>
    <w:rsid w:val="003113F5"/>
    <w:pPr>
      <w:tabs>
        <w:tab w:val="right" w:leader="dot" w:pos="7371"/>
      </w:tabs>
      <w:spacing w:before="100" w:beforeAutospacing="1" w:after="100" w:afterAutospacing="1"/>
    </w:pPr>
    <w:rPr>
      <w:rFonts w:ascii="Arial" w:eastAsia="Arial Unicode MS" w:hAnsi="Arial" w:cs="Arial"/>
      <w:sz w:val="14"/>
      <w:szCs w:val="14"/>
    </w:rPr>
  </w:style>
  <w:style w:type="paragraph" w:customStyle="1" w:styleId="testata">
    <w:name w:val="testata"/>
    <w:basedOn w:val="Normale"/>
    <w:semiHidden/>
    <w:rsid w:val="003113F5"/>
    <w:pPr>
      <w:tabs>
        <w:tab w:val="right" w:leader="dot" w:pos="7371"/>
      </w:tabs>
      <w:jc w:val="center"/>
    </w:pPr>
    <w:rPr>
      <w:rFonts w:ascii="Arial" w:hAnsi="Arial"/>
      <w:sz w:val="16"/>
      <w:szCs w:val="20"/>
    </w:rPr>
  </w:style>
  <w:style w:type="paragraph" w:customStyle="1" w:styleId="ulttest">
    <w:name w:val="ult.test"/>
    <w:basedOn w:val="Normale"/>
    <w:semiHidden/>
    <w:rsid w:val="003113F5"/>
    <w:pPr>
      <w:tabs>
        <w:tab w:val="right" w:leader="dot" w:pos="7371"/>
      </w:tabs>
      <w:jc w:val="right"/>
    </w:pPr>
    <w:rPr>
      <w:caps/>
      <w:sz w:val="22"/>
      <w:szCs w:val="22"/>
    </w:rPr>
  </w:style>
  <w:style w:type="paragraph" w:customStyle="1" w:styleId="TESTO">
    <w:name w:val="TESTO"/>
    <w:semiHidden/>
    <w:rsid w:val="003113F5"/>
    <w:pPr>
      <w:widowControl w:val="0"/>
      <w:spacing w:line="-200" w:lineRule="auto"/>
      <w:jc w:val="both"/>
    </w:pPr>
    <w:rPr>
      <w:rFonts w:ascii="Helvetica" w:hAnsi="Helvetica"/>
      <w:color w:val="000000"/>
      <w:sz w:val="18"/>
    </w:rPr>
  </w:style>
  <w:style w:type="paragraph" w:customStyle="1" w:styleId="xl30">
    <w:name w:val="xl30"/>
    <w:basedOn w:val="Normale"/>
    <w:semiHidden/>
    <w:rsid w:val="003113F5"/>
    <w:pPr>
      <w:pBdr>
        <w:bottom w:val="single" w:sz="4" w:space="0" w:color="auto"/>
      </w:pBdr>
      <w:shd w:val="clear" w:color="auto" w:fill="FFFFFF"/>
      <w:tabs>
        <w:tab w:val="right" w:leader="dot" w:pos="7371"/>
      </w:tabs>
      <w:spacing w:before="100" w:beforeAutospacing="1" w:after="100" w:afterAutospacing="1"/>
    </w:pPr>
    <w:rPr>
      <w:rFonts w:ascii="Arial" w:eastAsia="Arial Unicode MS" w:hAnsi="Arial" w:cs="Arial"/>
      <w:sz w:val="14"/>
      <w:szCs w:val="14"/>
    </w:rPr>
  </w:style>
  <w:style w:type="paragraph" w:customStyle="1" w:styleId="xl34">
    <w:name w:val="xl34"/>
    <w:basedOn w:val="Normale"/>
    <w:semiHidden/>
    <w:rsid w:val="003113F5"/>
    <w:pPr>
      <w:pBdr>
        <w:top w:val="single" w:sz="4" w:space="0" w:color="auto"/>
        <w:bottom w:val="single" w:sz="4" w:space="0" w:color="auto"/>
      </w:pBdr>
      <w:shd w:val="clear" w:color="auto" w:fill="FFFFFF"/>
      <w:tabs>
        <w:tab w:val="right" w:leader="dot" w:pos="7371"/>
      </w:tabs>
      <w:spacing w:before="100" w:beforeAutospacing="1" w:after="100" w:afterAutospacing="1"/>
      <w:jc w:val="center"/>
      <w:textAlignment w:val="center"/>
    </w:pPr>
    <w:rPr>
      <w:rFonts w:ascii="Arial" w:eastAsia="Arial Unicode MS" w:hAnsi="Arial" w:cs="Arial"/>
      <w:sz w:val="14"/>
      <w:szCs w:val="14"/>
    </w:rPr>
  </w:style>
  <w:style w:type="paragraph" w:styleId="Testodelblocco">
    <w:name w:val="Block Text"/>
    <w:basedOn w:val="Normale"/>
    <w:rsid w:val="003113F5"/>
    <w:pPr>
      <w:tabs>
        <w:tab w:val="right" w:leader="dot" w:pos="7371"/>
      </w:tabs>
      <w:ind w:left="284" w:right="284" w:firstLine="709"/>
      <w:jc w:val="both"/>
    </w:pPr>
    <w:rPr>
      <w:rFonts w:ascii="Arial" w:hAnsi="Arial"/>
      <w:sz w:val="20"/>
      <w:szCs w:val="20"/>
    </w:rPr>
  </w:style>
  <w:style w:type="paragraph" w:styleId="Rientrocorpodeltesto2">
    <w:name w:val="Body Text Indent 2"/>
    <w:basedOn w:val="Normale"/>
    <w:link w:val="Rientrocorpodeltesto2Carattere"/>
    <w:rsid w:val="003113F5"/>
    <w:pPr>
      <w:tabs>
        <w:tab w:val="right" w:leader="dot" w:pos="7371"/>
      </w:tabs>
      <w:ind w:firstLine="708"/>
      <w:jc w:val="both"/>
    </w:pPr>
    <w:rPr>
      <w:sz w:val="22"/>
      <w:szCs w:val="20"/>
    </w:rPr>
  </w:style>
  <w:style w:type="character" w:customStyle="1" w:styleId="Rientrocorpodeltesto2Carattere">
    <w:name w:val="Rientro corpo del testo 2 Carattere"/>
    <w:basedOn w:val="Carpredefinitoparagrafo"/>
    <w:link w:val="Rientrocorpodeltesto2"/>
    <w:rsid w:val="003113F5"/>
    <w:rPr>
      <w:sz w:val="22"/>
    </w:rPr>
  </w:style>
  <w:style w:type="paragraph" w:customStyle="1" w:styleId="valori">
    <w:name w:val="valori"/>
    <w:basedOn w:val="item"/>
    <w:semiHidden/>
    <w:rsid w:val="003113F5"/>
    <w:pPr>
      <w:ind w:left="0"/>
      <w:jc w:val="right"/>
    </w:pPr>
  </w:style>
  <w:style w:type="paragraph" w:customStyle="1" w:styleId="item">
    <w:name w:val="item"/>
    <w:basedOn w:val="Normale"/>
    <w:semiHidden/>
    <w:rsid w:val="003113F5"/>
    <w:pPr>
      <w:tabs>
        <w:tab w:val="right" w:leader="dot" w:pos="7371"/>
      </w:tabs>
      <w:ind w:left="397"/>
    </w:pPr>
    <w:rPr>
      <w:rFonts w:ascii="Arial" w:hAnsi="Arial"/>
      <w:sz w:val="16"/>
      <w:szCs w:val="20"/>
    </w:rPr>
  </w:style>
  <w:style w:type="paragraph" w:customStyle="1" w:styleId="Tabellen">
    <w:name w:val="Tabellen"/>
    <w:basedOn w:val="Normale"/>
    <w:semiHidden/>
    <w:rsid w:val="003113F5"/>
    <w:pPr>
      <w:tabs>
        <w:tab w:val="left" w:pos="709"/>
        <w:tab w:val="right" w:leader="dot" w:pos="7371"/>
      </w:tabs>
      <w:spacing w:line="20" w:lineRule="atLeast"/>
      <w:jc w:val="both"/>
    </w:pPr>
    <w:rPr>
      <w:color w:val="000000"/>
      <w:sz w:val="18"/>
      <w:szCs w:val="20"/>
      <w:lang w:val="en-GB"/>
    </w:rPr>
  </w:style>
  <w:style w:type="paragraph" w:customStyle="1" w:styleId="Stile6">
    <w:name w:val="Stile6"/>
    <w:basedOn w:val="Normale"/>
    <w:semiHidden/>
    <w:rsid w:val="003113F5"/>
    <w:pPr>
      <w:widowControl w:val="0"/>
      <w:tabs>
        <w:tab w:val="right" w:leader="dot" w:pos="7371"/>
      </w:tabs>
      <w:spacing w:line="-200" w:lineRule="auto"/>
      <w:ind w:left="384" w:hanging="384"/>
      <w:jc w:val="both"/>
    </w:pPr>
    <w:rPr>
      <w:rFonts w:ascii="Helvetica" w:hAnsi="Helvetica"/>
      <w:snapToGrid w:val="0"/>
      <w:color w:val="000000"/>
      <w:sz w:val="18"/>
      <w:szCs w:val="20"/>
    </w:rPr>
  </w:style>
  <w:style w:type="paragraph" w:styleId="Sottotitolo">
    <w:name w:val="Subtitle"/>
    <w:basedOn w:val="Normale"/>
    <w:link w:val="SottotitoloCarattere"/>
    <w:qFormat/>
    <w:rsid w:val="003113F5"/>
    <w:pPr>
      <w:tabs>
        <w:tab w:val="right" w:leader="dot" w:pos="7371"/>
      </w:tabs>
      <w:jc w:val="both"/>
    </w:pPr>
    <w:rPr>
      <w:b/>
      <w:sz w:val="22"/>
      <w:szCs w:val="20"/>
    </w:rPr>
  </w:style>
  <w:style w:type="character" w:customStyle="1" w:styleId="SottotitoloCarattere">
    <w:name w:val="Sottotitolo Carattere"/>
    <w:basedOn w:val="Carpredefinitoparagrafo"/>
    <w:link w:val="Sottotitolo"/>
    <w:rsid w:val="003113F5"/>
    <w:rPr>
      <w:b/>
      <w:sz w:val="22"/>
    </w:rPr>
  </w:style>
  <w:style w:type="paragraph" w:customStyle="1" w:styleId="xl23">
    <w:name w:val="xl23"/>
    <w:basedOn w:val="Normale"/>
    <w:semiHidden/>
    <w:rsid w:val="003113F5"/>
    <w:pPr>
      <w:tabs>
        <w:tab w:val="right" w:leader="dot" w:pos="7371"/>
      </w:tabs>
      <w:spacing w:before="100" w:beforeAutospacing="1" w:after="100" w:afterAutospacing="1"/>
    </w:pPr>
    <w:rPr>
      <w:rFonts w:ascii="Arial Unicode MS" w:eastAsia="Arial Unicode MS" w:hAnsi="Arial Unicode MS" w:cs="Arial Unicode MS"/>
      <w:b/>
      <w:bCs/>
      <w:sz w:val="18"/>
      <w:szCs w:val="18"/>
    </w:rPr>
  </w:style>
  <w:style w:type="paragraph" w:customStyle="1" w:styleId="xl42">
    <w:name w:val="xl42"/>
    <w:basedOn w:val="Normale"/>
    <w:semiHidden/>
    <w:rsid w:val="003113F5"/>
    <w:pPr>
      <w:tabs>
        <w:tab w:val="right" w:leader="dot" w:pos="7371"/>
      </w:tabs>
      <w:spacing w:before="100" w:beforeAutospacing="1" w:after="100" w:afterAutospacing="1"/>
    </w:pPr>
    <w:rPr>
      <w:rFonts w:ascii="Arial" w:eastAsia="Arial Unicode MS" w:hAnsi="Arial" w:cs="Arial"/>
      <w:sz w:val="18"/>
      <w:szCs w:val="18"/>
    </w:rPr>
  </w:style>
  <w:style w:type="paragraph" w:customStyle="1" w:styleId="xl41">
    <w:name w:val="xl41"/>
    <w:basedOn w:val="Normale"/>
    <w:semiHidden/>
    <w:rsid w:val="003113F5"/>
    <w:pPr>
      <w:tabs>
        <w:tab w:val="right" w:leader="dot" w:pos="7371"/>
      </w:tabs>
      <w:spacing w:before="100" w:beforeAutospacing="1" w:after="100" w:afterAutospacing="1"/>
      <w:jc w:val="center"/>
    </w:pPr>
    <w:rPr>
      <w:rFonts w:ascii="Arial" w:hAnsi="Arial" w:cs="Arial"/>
      <w:sz w:val="14"/>
      <w:szCs w:val="14"/>
    </w:rPr>
  </w:style>
  <w:style w:type="paragraph" w:customStyle="1" w:styleId="xl40">
    <w:name w:val="xl40"/>
    <w:basedOn w:val="Normale"/>
    <w:semiHidden/>
    <w:rsid w:val="003113F5"/>
    <w:pPr>
      <w:tabs>
        <w:tab w:val="right" w:leader="dot" w:pos="7371"/>
      </w:tabs>
      <w:spacing w:before="100" w:beforeAutospacing="1" w:after="100" w:afterAutospacing="1"/>
      <w:jc w:val="both"/>
      <w:textAlignment w:val="top"/>
    </w:pPr>
    <w:rPr>
      <w:rFonts w:ascii="Arial" w:eastAsia="Arial Unicode MS" w:hAnsi="Arial" w:cs="Arial"/>
      <w:sz w:val="14"/>
      <w:szCs w:val="14"/>
    </w:rPr>
  </w:style>
  <w:style w:type="paragraph" w:customStyle="1" w:styleId="xl27">
    <w:name w:val="xl27"/>
    <w:basedOn w:val="Normale"/>
    <w:semiHidden/>
    <w:rsid w:val="003113F5"/>
    <w:pPr>
      <w:tabs>
        <w:tab w:val="right" w:leader="dot" w:pos="7371"/>
      </w:tabs>
      <w:spacing w:before="100" w:after="100"/>
    </w:pPr>
    <w:rPr>
      <w:rFonts w:ascii="Arial" w:hAnsi="Arial"/>
      <w:b/>
      <w:sz w:val="14"/>
      <w:szCs w:val="22"/>
    </w:rPr>
  </w:style>
  <w:style w:type="paragraph" w:customStyle="1" w:styleId="xl32">
    <w:name w:val="xl32"/>
    <w:basedOn w:val="Normale"/>
    <w:semiHidden/>
    <w:rsid w:val="003113F5"/>
    <w:pPr>
      <w:pBdr>
        <w:bottom w:val="single" w:sz="4" w:space="0" w:color="auto"/>
      </w:pBdr>
      <w:tabs>
        <w:tab w:val="right" w:leader="dot" w:pos="7371"/>
      </w:tabs>
      <w:spacing w:before="100" w:after="100"/>
      <w:jc w:val="center"/>
    </w:pPr>
    <w:rPr>
      <w:rFonts w:ascii="Arial" w:eastAsia="Arial Unicode MS" w:hAnsi="Arial"/>
      <w:sz w:val="14"/>
      <w:szCs w:val="22"/>
    </w:rPr>
  </w:style>
  <w:style w:type="paragraph" w:customStyle="1" w:styleId="xl24">
    <w:name w:val="xl24"/>
    <w:basedOn w:val="Normale"/>
    <w:semiHidden/>
    <w:rsid w:val="003113F5"/>
    <w:pPr>
      <w:tabs>
        <w:tab w:val="right" w:leader="dot" w:pos="7371"/>
      </w:tabs>
      <w:spacing w:before="100" w:after="100"/>
      <w:jc w:val="both"/>
      <w:textAlignment w:val="top"/>
    </w:pPr>
    <w:rPr>
      <w:rFonts w:ascii="Arial" w:hAnsi="Arial"/>
      <w:color w:val="000000"/>
      <w:sz w:val="14"/>
      <w:szCs w:val="20"/>
    </w:rPr>
  </w:style>
  <w:style w:type="paragraph" w:customStyle="1" w:styleId="xl25">
    <w:name w:val="xl25"/>
    <w:basedOn w:val="Normale"/>
    <w:semiHidden/>
    <w:rsid w:val="003113F5"/>
    <w:pPr>
      <w:tabs>
        <w:tab w:val="right" w:leader="dot" w:pos="7371"/>
      </w:tabs>
      <w:spacing w:before="100" w:after="100"/>
      <w:jc w:val="right"/>
      <w:textAlignment w:val="top"/>
    </w:pPr>
    <w:rPr>
      <w:rFonts w:ascii="Arial" w:hAnsi="Arial"/>
      <w:color w:val="000000"/>
      <w:sz w:val="14"/>
      <w:szCs w:val="20"/>
    </w:rPr>
  </w:style>
  <w:style w:type="paragraph" w:customStyle="1" w:styleId="xl26">
    <w:name w:val="xl26"/>
    <w:basedOn w:val="Normale"/>
    <w:semiHidden/>
    <w:rsid w:val="003113F5"/>
    <w:pPr>
      <w:pBdr>
        <w:bottom w:val="single" w:sz="4" w:space="0" w:color="auto"/>
      </w:pBdr>
      <w:tabs>
        <w:tab w:val="right" w:leader="dot" w:pos="7371"/>
      </w:tabs>
      <w:spacing w:before="100" w:after="100"/>
      <w:jc w:val="right"/>
      <w:textAlignment w:val="top"/>
    </w:pPr>
    <w:rPr>
      <w:rFonts w:ascii="Arial" w:hAnsi="Arial"/>
      <w:color w:val="000000"/>
      <w:sz w:val="14"/>
      <w:szCs w:val="20"/>
    </w:rPr>
  </w:style>
  <w:style w:type="paragraph" w:customStyle="1" w:styleId="xl28">
    <w:name w:val="xl28"/>
    <w:basedOn w:val="Normale"/>
    <w:semiHidden/>
    <w:rsid w:val="003113F5"/>
    <w:pPr>
      <w:pBdr>
        <w:bottom w:val="single" w:sz="4" w:space="0" w:color="auto"/>
      </w:pBdr>
      <w:tabs>
        <w:tab w:val="right" w:leader="dot" w:pos="7371"/>
      </w:tabs>
      <w:spacing w:before="100" w:after="100"/>
      <w:jc w:val="both"/>
      <w:textAlignment w:val="top"/>
    </w:pPr>
    <w:rPr>
      <w:rFonts w:ascii="Arial" w:hAnsi="Arial"/>
      <w:b/>
      <w:color w:val="000000"/>
      <w:sz w:val="14"/>
      <w:szCs w:val="20"/>
    </w:rPr>
  </w:style>
  <w:style w:type="paragraph" w:customStyle="1" w:styleId="xl29">
    <w:name w:val="xl29"/>
    <w:basedOn w:val="Normale"/>
    <w:semiHidden/>
    <w:rsid w:val="003113F5"/>
    <w:pPr>
      <w:pBdr>
        <w:bottom w:val="single" w:sz="4" w:space="0" w:color="auto"/>
      </w:pBdr>
      <w:tabs>
        <w:tab w:val="right" w:leader="dot" w:pos="7371"/>
      </w:tabs>
      <w:spacing w:before="100" w:after="100"/>
      <w:jc w:val="right"/>
      <w:textAlignment w:val="top"/>
    </w:pPr>
    <w:rPr>
      <w:rFonts w:ascii="Arial" w:hAnsi="Arial"/>
      <w:b/>
      <w:color w:val="000000"/>
      <w:sz w:val="14"/>
      <w:szCs w:val="20"/>
    </w:rPr>
  </w:style>
  <w:style w:type="paragraph" w:customStyle="1" w:styleId="xl31">
    <w:name w:val="xl31"/>
    <w:basedOn w:val="Normale"/>
    <w:semiHidden/>
    <w:rsid w:val="003113F5"/>
    <w:pPr>
      <w:tabs>
        <w:tab w:val="right" w:leader="dot" w:pos="7371"/>
      </w:tabs>
      <w:spacing w:before="100" w:after="100"/>
      <w:jc w:val="both"/>
    </w:pPr>
    <w:rPr>
      <w:rFonts w:ascii="Arial" w:hAnsi="Arial"/>
      <w:sz w:val="16"/>
      <w:szCs w:val="20"/>
    </w:rPr>
  </w:style>
  <w:style w:type="paragraph" w:customStyle="1" w:styleId="xl33">
    <w:name w:val="xl33"/>
    <w:basedOn w:val="Normale"/>
    <w:semiHidden/>
    <w:rsid w:val="003113F5"/>
    <w:pPr>
      <w:pBdr>
        <w:bottom w:val="single" w:sz="4" w:space="0" w:color="auto"/>
      </w:pBdr>
      <w:tabs>
        <w:tab w:val="right" w:leader="dot" w:pos="7371"/>
      </w:tabs>
      <w:spacing w:before="100" w:after="100"/>
      <w:jc w:val="center"/>
      <w:textAlignment w:val="top"/>
    </w:pPr>
    <w:rPr>
      <w:rFonts w:ascii="Arial" w:hAnsi="Arial"/>
      <w:sz w:val="22"/>
      <w:szCs w:val="20"/>
    </w:rPr>
  </w:style>
  <w:style w:type="paragraph" w:customStyle="1" w:styleId="xl35">
    <w:name w:val="xl35"/>
    <w:basedOn w:val="Normale"/>
    <w:semiHidden/>
    <w:rsid w:val="003113F5"/>
    <w:pPr>
      <w:pBdr>
        <w:bottom w:val="single" w:sz="4" w:space="0" w:color="auto"/>
      </w:pBdr>
      <w:tabs>
        <w:tab w:val="right" w:leader="dot" w:pos="7371"/>
      </w:tabs>
      <w:spacing w:before="100" w:after="100"/>
      <w:jc w:val="both"/>
      <w:textAlignment w:val="top"/>
    </w:pPr>
    <w:rPr>
      <w:rFonts w:ascii="Arial" w:hAnsi="Arial"/>
      <w:sz w:val="22"/>
      <w:szCs w:val="20"/>
    </w:rPr>
  </w:style>
  <w:style w:type="paragraph" w:customStyle="1" w:styleId="xl36">
    <w:name w:val="xl36"/>
    <w:basedOn w:val="Normale"/>
    <w:semiHidden/>
    <w:rsid w:val="003113F5"/>
    <w:pPr>
      <w:pBdr>
        <w:bottom w:val="single" w:sz="4" w:space="0" w:color="auto"/>
      </w:pBdr>
      <w:tabs>
        <w:tab w:val="right" w:leader="dot" w:pos="7371"/>
      </w:tabs>
      <w:spacing w:before="100" w:after="100"/>
      <w:jc w:val="right"/>
      <w:textAlignment w:val="top"/>
    </w:pPr>
    <w:rPr>
      <w:rFonts w:ascii="Arial" w:hAnsi="Arial"/>
      <w:sz w:val="22"/>
      <w:szCs w:val="20"/>
    </w:rPr>
  </w:style>
  <w:style w:type="paragraph" w:customStyle="1" w:styleId="xl37">
    <w:name w:val="xl37"/>
    <w:basedOn w:val="Normale"/>
    <w:semiHidden/>
    <w:rsid w:val="003113F5"/>
    <w:pPr>
      <w:tabs>
        <w:tab w:val="right" w:leader="dot" w:pos="7371"/>
      </w:tabs>
      <w:spacing w:before="100" w:after="100"/>
      <w:jc w:val="right"/>
      <w:textAlignment w:val="top"/>
    </w:pPr>
    <w:rPr>
      <w:rFonts w:ascii="Arial" w:hAnsi="Arial"/>
      <w:sz w:val="22"/>
      <w:szCs w:val="20"/>
    </w:rPr>
  </w:style>
  <w:style w:type="paragraph" w:customStyle="1" w:styleId="xl38">
    <w:name w:val="xl38"/>
    <w:basedOn w:val="Normale"/>
    <w:semiHidden/>
    <w:rsid w:val="003113F5"/>
    <w:pPr>
      <w:tabs>
        <w:tab w:val="right" w:leader="dot" w:pos="7371"/>
      </w:tabs>
      <w:spacing w:before="100" w:after="100"/>
      <w:jc w:val="both"/>
    </w:pPr>
    <w:rPr>
      <w:rFonts w:ascii="Arial" w:hAnsi="Arial"/>
      <w:sz w:val="22"/>
      <w:szCs w:val="20"/>
    </w:rPr>
  </w:style>
  <w:style w:type="paragraph" w:customStyle="1" w:styleId="xl39">
    <w:name w:val="xl39"/>
    <w:basedOn w:val="Normale"/>
    <w:semiHidden/>
    <w:rsid w:val="003113F5"/>
    <w:pPr>
      <w:pBdr>
        <w:bottom w:val="single" w:sz="4" w:space="0" w:color="auto"/>
      </w:pBdr>
      <w:tabs>
        <w:tab w:val="right" w:leader="dot" w:pos="7371"/>
      </w:tabs>
      <w:spacing w:before="100" w:beforeAutospacing="1" w:after="100" w:afterAutospacing="1"/>
      <w:textAlignment w:val="top"/>
    </w:pPr>
    <w:rPr>
      <w:rFonts w:ascii="Arial" w:eastAsia="Arial Unicode MS" w:hAnsi="Arial" w:cs="Arial"/>
      <w:sz w:val="14"/>
      <w:szCs w:val="14"/>
    </w:rPr>
  </w:style>
  <w:style w:type="paragraph" w:customStyle="1" w:styleId="xl45">
    <w:name w:val="xl45"/>
    <w:basedOn w:val="Normale"/>
    <w:semiHidden/>
    <w:rsid w:val="003113F5"/>
    <w:pPr>
      <w:tabs>
        <w:tab w:val="right" w:leader="dot" w:pos="7371"/>
      </w:tabs>
      <w:spacing w:before="100" w:beforeAutospacing="1" w:after="100" w:afterAutospacing="1"/>
      <w:jc w:val="center"/>
      <w:textAlignment w:val="center"/>
    </w:pPr>
    <w:rPr>
      <w:rFonts w:ascii="Arial" w:eastAsia="Arial Unicode MS" w:hAnsi="Arial" w:cs="Arial"/>
      <w:b/>
      <w:bCs/>
      <w:sz w:val="28"/>
      <w:szCs w:val="28"/>
    </w:rPr>
  </w:style>
  <w:style w:type="paragraph" w:customStyle="1" w:styleId="xl46">
    <w:name w:val="xl46"/>
    <w:basedOn w:val="Normale"/>
    <w:semiHidden/>
    <w:rsid w:val="003113F5"/>
    <w:pPr>
      <w:tabs>
        <w:tab w:val="right" w:leader="dot" w:pos="7371"/>
      </w:tabs>
      <w:spacing w:before="100" w:beforeAutospacing="1" w:after="100" w:afterAutospacing="1"/>
      <w:textAlignment w:val="center"/>
    </w:pPr>
    <w:rPr>
      <w:rFonts w:ascii="Arial" w:eastAsia="Arial Unicode MS" w:hAnsi="Arial" w:cs="Arial"/>
      <w:sz w:val="14"/>
      <w:szCs w:val="14"/>
    </w:rPr>
  </w:style>
  <w:style w:type="paragraph" w:customStyle="1" w:styleId="xl47">
    <w:name w:val="xl47"/>
    <w:basedOn w:val="Normale"/>
    <w:semiHidden/>
    <w:rsid w:val="003113F5"/>
    <w:pPr>
      <w:tabs>
        <w:tab w:val="right" w:leader="dot" w:pos="7371"/>
      </w:tabs>
      <w:spacing w:before="100" w:beforeAutospacing="1" w:after="100" w:afterAutospacing="1"/>
      <w:textAlignment w:val="center"/>
    </w:pPr>
    <w:rPr>
      <w:rFonts w:ascii="Arial" w:eastAsia="Arial Unicode MS" w:hAnsi="Arial" w:cs="Arial"/>
      <w:sz w:val="14"/>
      <w:szCs w:val="14"/>
    </w:rPr>
  </w:style>
  <w:style w:type="paragraph" w:customStyle="1" w:styleId="xl48">
    <w:name w:val="xl48"/>
    <w:basedOn w:val="Normale"/>
    <w:semiHidden/>
    <w:rsid w:val="003113F5"/>
    <w:pPr>
      <w:pBdr>
        <w:top w:val="single" w:sz="4" w:space="0" w:color="auto"/>
      </w:pBdr>
      <w:tabs>
        <w:tab w:val="right" w:leader="dot" w:pos="7371"/>
      </w:tabs>
      <w:spacing w:before="100" w:beforeAutospacing="1" w:after="100" w:afterAutospacing="1"/>
      <w:textAlignment w:val="center"/>
    </w:pPr>
    <w:rPr>
      <w:rFonts w:ascii="Arial" w:eastAsia="Arial Unicode MS" w:hAnsi="Arial" w:cs="Arial"/>
      <w:sz w:val="14"/>
      <w:szCs w:val="14"/>
    </w:rPr>
  </w:style>
  <w:style w:type="paragraph" w:customStyle="1" w:styleId="xl49">
    <w:name w:val="xl49"/>
    <w:basedOn w:val="Normale"/>
    <w:semiHidden/>
    <w:rsid w:val="003113F5"/>
    <w:pPr>
      <w:pBdr>
        <w:bottom w:val="single" w:sz="4" w:space="0" w:color="auto"/>
      </w:pBdr>
      <w:tabs>
        <w:tab w:val="right" w:leader="dot" w:pos="7371"/>
      </w:tabs>
      <w:spacing w:before="100" w:beforeAutospacing="1" w:after="100" w:afterAutospacing="1"/>
    </w:pPr>
    <w:rPr>
      <w:rFonts w:ascii="Arial Unicode MS" w:eastAsia="Arial Unicode MS" w:hAnsi="Arial Unicode MS" w:cs="Arial Unicode MS"/>
      <w:sz w:val="22"/>
      <w:szCs w:val="22"/>
    </w:rPr>
  </w:style>
  <w:style w:type="paragraph" w:customStyle="1" w:styleId="NaceSectionSt">
    <w:name w:val="Nace Section St"/>
    <w:basedOn w:val="Normale"/>
    <w:semiHidden/>
    <w:rsid w:val="003113F5"/>
    <w:pPr>
      <w:keepNext/>
      <w:widowControl w:val="0"/>
      <w:numPr>
        <w:ilvl w:val="12"/>
      </w:numPr>
      <w:tabs>
        <w:tab w:val="left" w:pos="993"/>
        <w:tab w:val="right" w:leader="dot" w:pos="7371"/>
      </w:tabs>
      <w:spacing w:before="120" w:after="120"/>
    </w:pPr>
    <w:rPr>
      <w:rFonts w:ascii="Times" w:hAnsi="Times"/>
      <w:b/>
      <w:color w:val="000000"/>
      <w:sz w:val="20"/>
      <w:szCs w:val="20"/>
      <w:lang w:bidi="he-IL"/>
    </w:rPr>
  </w:style>
  <w:style w:type="paragraph" w:customStyle="1" w:styleId="NaceClasseSt2">
    <w:name w:val="Nace Classe St 2"/>
    <w:basedOn w:val="NaceClasseSt1"/>
    <w:semiHidden/>
    <w:rsid w:val="003113F5"/>
    <w:pPr>
      <w:jc w:val="right"/>
    </w:pPr>
  </w:style>
  <w:style w:type="paragraph" w:customStyle="1" w:styleId="NaceClasseSt1">
    <w:name w:val="Nace Classe St 1"/>
    <w:basedOn w:val="Normale"/>
    <w:semiHidden/>
    <w:rsid w:val="003113F5"/>
    <w:pPr>
      <w:keepLines/>
      <w:tabs>
        <w:tab w:val="left" w:pos="993"/>
        <w:tab w:val="right" w:leader="dot" w:pos="7371"/>
      </w:tabs>
    </w:pPr>
    <w:rPr>
      <w:rFonts w:ascii="Times" w:hAnsi="Times"/>
      <w:noProof/>
      <w:color w:val="000000"/>
      <w:sz w:val="20"/>
      <w:szCs w:val="20"/>
      <w:lang w:bidi="he-IL"/>
    </w:rPr>
  </w:style>
  <w:style w:type="character" w:customStyle="1" w:styleId="Titolo1Carattere">
    <w:name w:val="Titolo 1 Carattere"/>
    <w:rsid w:val="003113F5"/>
    <w:rPr>
      <w:rFonts w:ascii="Arial" w:hAnsi="Arial" w:cs="Arial"/>
      <w:b/>
      <w:bCs/>
      <w:kern w:val="32"/>
      <w:sz w:val="32"/>
      <w:szCs w:val="32"/>
      <w:lang w:val="it-IT" w:eastAsia="it-IT" w:bidi="ar-SA"/>
    </w:rPr>
  </w:style>
  <w:style w:type="table" w:styleId="Tabellasemplice1">
    <w:name w:val="Table Simple 1"/>
    <w:basedOn w:val="Tabellanormale"/>
    <w:rsid w:val="003113F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stonotadichiusura">
    <w:name w:val="endnote text"/>
    <w:basedOn w:val="Normale"/>
    <w:link w:val="TestonotadichiusuraCarattere"/>
    <w:rsid w:val="003113F5"/>
    <w:pPr>
      <w:tabs>
        <w:tab w:val="left" w:pos="709"/>
        <w:tab w:val="right" w:leader="dot" w:pos="7371"/>
      </w:tabs>
      <w:jc w:val="both"/>
    </w:pPr>
    <w:rPr>
      <w:sz w:val="20"/>
      <w:szCs w:val="22"/>
    </w:rPr>
  </w:style>
  <w:style w:type="character" w:customStyle="1" w:styleId="TestonotadichiusuraCarattere">
    <w:name w:val="Testo nota di chiusura Carattere"/>
    <w:basedOn w:val="Carpredefinitoparagrafo"/>
    <w:link w:val="Testonotadichiusura"/>
    <w:rsid w:val="003113F5"/>
    <w:rPr>
      <w:szCs w:val="22"/>
    </w:rPr>
  </w:style>
  <w:style w:type="paragraph" w:customStyle="1" w:styleId="Ann18GlossarioBibliografia">
    <w:name w:val="Ann_18_Glossario/Bibliografia"/>
    <w:basedOn w:val="Ann01Testo"/>
    <w:rsid w:val="003113F5"/>
    <w:pPr>
      <w:spacing w:after="100"/>
      <w:ind w:left="170" w:hanging="170"/>
    </w:pPr>
  </w:style>
  <w:style w:type="paragraph" w:customStyle="1" w:styleId="Ann08Testonotapipagina">
    <w:name w:val="Ann_08_Testo nota piè pagina"/>
    <w:basedOn w:val="Normale"/>
    <w:link w:val="Ann08TestonotapipaginaCarattere"/>
    <w:rsid w:val="003113F5"/>
    <w:pPr>
      <w:tabs>
        <w:tab w:val="right" w:pos="170"/>
        <w:tab w:val="right" w:pos="284"/>
        <w:tab w:val="right" w:pos="454"/>
        <w:tab w:val="right" w:leader="dot" w:pos="7371"/>
      </w:tabs>
      <w:spacing w:after="20"/>
      <w:ind w:left="113" w:hanging="113"/>
      <w:jc w:val="both"/>
    </w:pPr>
    <w:rPr>
      <w:sz w:val="16"/>
      <w:szCs w:val="16"/>
    </w:rPr>
  </w:style>
  <w:style w:type="character" w:customStyle="1" w:styleId="Ann13IndiceriempipuntiniCarattere">
    <w:name w:val="Ann_13_Indice riempi puntini Carattere"/>
    <w:link w:val="Ann13Indiceriempipuntini"/>
    <w:rsid w:val="003113F5"/>
    <w:rPr>
      <w:sz w:val="22"/>
      <w:szCs w:val="22"/>
      <w:lang w:val="it-IT" w:eastAsia="it-IT" w:bidi="ar-SA"/>
    </w:rPr>
  </w:style>
  <w:style w:type="paragraph" w:customStyle="1" w:styleId="Ann20intestazionepaginapari">
    <w:name w:val="Ann_20_intestazione pagina_pari"/>
    <w:basedOn w:val="Ann19intestazionepaginadispari"/>
    <w:link w:val="Ann20intestazionepaginapariCarattere"/>
    <w:rsid w:val="003113F5"/>
    <w:pPr>
      <w:jc w:val="right"/>
    </w:pPr>
  </w:style>
  <w:style w:type="paragraph" w:customStyle="1" w:styleId="Ann13Indiceriempipuntini">
    <w:name w:val="Ann_13_Indice riempi puntini"/>
    <w:next w:val="Ann01Testo"/>
    <w:link w:val="Ann13IndiceriempipuntiniCarattere"/>
    <w:rsid w:val="003113F5"/>
    <w:pPr>
      <w:tabs>
        <w:tab w:val="right" w:leader="dot" w:pos="7371"/>
      </w:tabs>
      <w:jc w:val="both"/>
    </w:pPr>
    <w:rPr>
      <w:sz w:val="22"/>
      <w:szCs w:val="22"/>
    </w:rPr>
  </w:style>
  <w:style w:type="paragraph" w:customStyle="1" w:styleId="Ann02bPARTEinocchiello">
    <w:name w:val="Ann_02_b_PARTE_in occhiello"/>
    <w:basedOn w:val="Ann02TitoloCapitolo"/>
    <w:link w:val="Ann02bPARTEinocchielloCarattereCarattere"/>
    <w:rsid w:val="003113F5"/>
    <w:pPr>
      <w:spacing w:before="5800" w:after="0"/>
    </w:pPr>
    <w:rPr>
      <w:rFonts w:cs="Times New Roman"/>
      <w:sz w:val="36"/>
    </w:rPr>
  </w:style>
  <w:style w:type="paragraph" w:customStyle="1" w:styleId="Ann10Indicetitolocapitolo">
    <w:name w:val="Ann_10_Indice titolo capitolo"/>
    <w:basedOn w:val="Normale"/>
    <w:link w:val="Ann10IndicetitolocapitoloCarattereCarattere"/>
    <w:rsid w:val="003113F5"/>
    <w:pPr>
      <w:tabs>
        <w:tab w:val="right" w:leader="dot" w:pos="7371"/>
      </w:tabs>
    </w:pPr>
    <w:rPr>
      <w:b/>
      <w:sz w:val="22"/>
      <w:szCs w:val="22"/>
    </w:rPr>
  </w:style>
  <w:style w:type="character" w:customStyle="1" w:styleId="Ann10IndicetitolocapitoloCarattereCarattere">
    <w:name w:val="Ann_10_Indice titolo capitolo Carattere Carattere"/>
    <w:link w:val="Ann10Indicetitolocapitolo"/>
    <w:rsid w:val="003113F5"/>
    <w:rPr>
      <w:b/>
      <w:sz w:val="22"/>
      <w:szCs w:val="22"/>
    </w:rPr>
  </w:style>
  <w:style w:type="paragraph" w:customStyle="1" w:styleId="Ann11Indicetitoloparagrafo">
    <w:name w:val="Ann_11_Indice titolo paragrafo"/>
    <w:basedOn w:val="Normale"/>
    <w:link w:val="Ann11IndicetitoloparagrafoCarattereCarattere"/>
    <w:rsid w:val="003113F5"/>
    <w:pPr>
      <w:tabs>
        <w:tab w:val="left" w:pos="539"/>
        <w:tab w:val="right" w:leader="dot" w:pos="7371"/>
      </w:tabs>
    </w:pPr>
    <w:rPr>
      <w:sz w:val="22"/>
      <w:szCs w:val="22"/>
    </w:rPr>
  </w:style>
  <w:style w:type="character" w:customStyle="1" w:styleId="Ann11IndicetitoloparagrafoCarattereCarattere">
    <w:name w:val="Ann_11_Indice titolo paragrafo Carattere Carattere"/>
    <w:link w:val="Ann11Indicetitoloparagrafo"/>
    <w:rsid w:val="003113F5"/>
    <w:rPr>
      <w:sz w:val="22"/>
      <w:szCs w:val="22"/>
    </w:rPr>
  </w:style>
  <w:style w:type="paragraph" w:customStyle="1" w:styleId="Ann12Indicetitolosottoparagrafo">
    <w:name w:val="Ann_12_Indice titolo sottoparagrafo"/>
    <w:basedOn w:val="Normale"/>
    <w:link w:val="Ann12IndicetitolosottoparagrafoCarattereCarattere"/>
    <w:rsid w:val="003113F5"/>
    <w:pPr>
      <w:tabs>
        <w:tab w:val="left" w:pos="397"/>
        <w:tab w:val="left" w:pos="510"/>
        <w:tab w:val="left" w:pos="539"/>
        <w:tab w:val="right" w:leader="dot" w:pos="7371"/>
      </w:tabs>
      <w:ind w:left="907" w:hanging="907"/>
    </w:pPr>
    <w:rPr>
      <w:i/>
      <w:sz w:val="22"/>
      <w:szCs w:val="20"/>
    </w:rPr>
  </w:style>
  <w:style w:type="character" w:customStyle="1" w:styleId="Ann12IndicetitolosottoparagrafoCarattereCarattere">
    <w:name w:val="Ann_12_Indice titolo sottoparagrafo Carattere Carattere"/>
    <w:link w:val="Ann12Indicetitolosottoparagrafo"/>
    <w:rsid w:val="003113F5"/>
    <w:rPr>
      <w:i/>
      <w:sz w:val="22"/>
    </w:rPr>
  </w:style>
  <w:style w:type="paragraph" w:customStyle="1" w:styleId="Ann17TavolaFignotapitavola">
    <w:name w:val="Ann_17_Tavola/Fig nota piè tavola"/>
    <w:basedOn w:val="Ann01Testo"/>
    <w:next w:val="Ann01Testo"/>
    <w:rsid w:val="003113F5"/>
    <w:pPr>
      <w:tabs>
        <w:tab w:val="clear" w:pos="7371"/>
      </w:tabs>
      <w:spacing w:before="40" w:line="170" w:lineRule="exact"/>
      <w:ind w:left="176" w:hanging="176"/>
    </w:pPr>
    <w:rPr>
      <w:rFonts w:cs="Arial"/>
      <w:bCs w:val="0"/>
      <w:sz w:val="16"/>
      <w:szCs w:val="14"/>
    </w:rPr>
  </w:style>
  <w:style w:type="character" w:customStyle="1" w:styleId="Ann02TitoloCapitoloCarattere">
    <w:name w:val="Ann_02_Titolo Capitolo Carattere"/>
    <w:link w:val="Ann02TitoloCapitolo"/>
    <w:rsid w:val="003113F5"/>
    <w:rPr>
      <w:rFonts w:cs="Arial"/>
      <w:bCs/>
      <w:smallCaps/>
      <w:sz w:val="30"/>
      <w:szCs w:val="28"/>
      <w:lang w:val="it-IT" w:eastAsia="it-IT" w:bidi="ar-SA"/>
    </w:rPr>
  </w:style>
  <w:style w:type="numbering" w:customStyle="1" w:styleId="Ann07Testoelencopuntato">
    <w:name w:val="Ann_07_Testo elenco puntato"/>
    <w:rsid w:val="003113F5"/>
    <w:pPr>
      <w:numPr>
        <w:numId w:val="11"/>
      </w:numPr>
    </w:pPr>
  </w:style>
  <w:style w:type="character" w:customStyle="1" w:styleId="Ann02bPARTEinocchielloCarattereCarattere">
    <w:name w:val="Ann_02_b_PARTE_in occhiello Carattere Carattere"/>
    <w:link w:val="Ann02bPARTEinocchiello"/>
    <w:rsid w:val="003113F5"/>
    <w:rPr>
      <w:rFonts w:cs="Arial"/>
      <w:bCs/>
      <w:smallCaps/>
      <w:sz w:val="36"/>
      <w:szCs w:val="28"/>
    </w:rPr>
  </w:style>
  <w:style w:type="paragraph" w:customStyle="1" w:styleId="Ann02cAutoriaseguitotitolocorrente">
    <w:name w:val="Ann_02_c_Autori a seguito titolo corrente"/>
    <w:basedOn w:val="Ann02TitoloCapitolo"/>
    <w:rsid w:val="003113F5"/>
    <w:pPr>
      <w:spacing w:after="0"/>
    </w:pPr>
    <w:rPr>
      <w:b/>
      <w:i/>
      <w:sz w:val="22"/>
    </w:rPr>
  </w:style>
  <w:style w:type="paragraph" w:customStyle="1" w:styleId="Ann19intestazionepaginadispari">
    <w:name w:val="Ann_19_intestazione pagina_dispari"/>
    <w:basedOn w:val="Ann01Testo"/>
    <w:next w:val="Ann01Testo"/>
    <w:link w:val="Ann19intestazionepaginadispariCarattereCarattere"/>
    <w:rsid w:val="003113F5"/>
    <w:pPr>
      <w:tabs>
        <w:tab w:val="center" w:pos="4819"/>
        <w:tab w:val="right" w:pos="9638"/>
      </w:tabs>
      <w:ind w:firstLine="0"/>
      <w:jc w:val="left"/>
    </w:pPr>
    <w:rPr>
      <w:i/>
      <w:sz w:val="20"/>
      <w:szCs w:val="20"/>
    </w:rPr>
  </w:style>
  <w:style w:type="paragraph" w:customStyle="1" w:styleId="Ann16Tavolafiancata">
    <w:name w:val="Ann_16_Tavola fiancata"/>
    <w:basedOn w:val="Ann01Testo"/>
    <w:next w:val="Ann01Testo"/>
    <w:rsid w:val="003113F5"/>
    <w:rPr>
      <w:rFonts w:ascii="Arial" w:hAnsi="Arial"/>
      <w:sz w:val="14"/>
      <w:szCs w:val="14"/>
    </w:rPr>
  </w:style>
  <w:style w:type="paragraph" w:customStyle="1" w:styleId="Ann15Tavolacelle">
    <w:name w:val="Ann_15_Tavola celle"/>
    <w:basedOn w:val="Ann01Testo"/>
    <w:next w:val="Ann01Testo"/>
    <w:rsid w:val="003113F5"/>
    <w:pPr>
      <w:ind w:firstLine="0"/>
      <w:jc w:val="right"/>
    </w:pPr>
    <w:rPr>
      <w:rFonts w:ascii="Arial" w:hAnsi="Arial" w:cs="Arial"/>
      <w:color w:val="000000"/>
      <w:sz w:val="14"/>
      <w:szCs w:val="14"/>
    </w:rPr>
  </w:style>
  <w:style w:type="paragraph" w:customStyle="1" w:styleId="Ann01TestoCitazione">
    <w:name w:val="Ann_01_Testo_Citazione"/>
    <w:basedOn w:val="Ann01Testo"/>
    <w:rsid w:val="003113F5"/>
    <w:pPr>
      <w:spacing w:before="200" w:after="200"/>
      <w:ind w:left="567" w:right="567"/>
    </w:pPr>
    <w:rPr>
      <w:sz w:val="20"/>
    </w:rPr>
  </w:style>
  <w:style w:type="paragraph" w:customStyle="1" w:styleId="Ann14TavolaFiguratitolo">
    <w:name w:val="Ann_14_Tavola/Figura  titolo"/>
    <w:link w:val="Ann14TavolaFiguratitoloCarattereCarattere"/>
    <w:rsid w:val="003113F5"/>
    <w:pPr>
      <w:spacing w:before="440" w:after="180"/>
      <w:ind w:left="1202" w:hanging="1202"/>
      <w:jc w:val="both"/>
      <w:outlineLvl w:val="0"/>
    </w:pPr>
    <w:rPr>
      <w:b/>
      <w:szCs w:val="18"/>
    </w:rPr>
  </w:style>
  <w:style w:type="character" w:customStyle="1" w:styleId="Ann14TavolaFiguratitoloCarattereCarattere">
    <w:name w:val="Ann_14_Tavola/Figura  titolo Carattere Carattere"/>
    <w:link w:val="Ann14TavolaFiguratitolo"/>
    <w:rsid w:val="003113F5"/>
    <w:rPr>
      <w:b/>
      <w:szCs w:val="18"/>
      <w:lang w:bidi="ar-SA"/>
    </w:rPr>
  </w:style>
  <w:style w:type="paragraph" w:customStyle="1" w:styleId="InfTestocorrente">
    <w:name w:val="Inf_Testo corrente"/>
    <w:basedOn w:val="Normale"/>
    <w:semiHidden/>
    <w:rsid w:val="003113F5"/>
    <w:pPr>
      <w:tabs>
        <w:tab w:val="num" w:pos="0"/>
        <w:tab w:val="right" w:leader="dot" w:pos="7371"/>
      </w:tabs>
      <w:ind w:firstLine="397"/>
      <w:jc w:val="both"/>
    </w:pPr>
    <w:rPr>
      <w:sz w:val="22"/>
      <w:szCs w:val="22"/>
    </w:rPr>
  </w:style>
  <w:style w:type="paragraph" w:customStyle="1" w:styleId="Ann09Testoautoripipagina">
    <w:name w:val="Ann_09_Testo autori piè pagina"/>
    <w:basedOn w:val="Normale"/>
    <w:rsid w:val="003113F5"/>
    <w:pPr>
      <w:tabs>
        <w:tab w:val="right" w:leader="dot" w:pos="7371"/>
      </w:tabs>
      <w:spacing w:after="20"/>
    </w:pPr>
    <w:rPr>
      <w:i/>
      <w:sz w:val="18"/>
      <w:szCs w:val="18"/>
    </w:rPr>
  </w:style>
  <w:style w:type="character" w:customStyle="1" w:styleId="Ann19intestazionepaginadispariCarattereCarattere">
    <w:name w:val="Ann_19_intestazione pagina_dispari Carattere Carattere"/>
    <w:link w:val="Ann19intestazionepaginadispari"/>
    <w:rsid w:val="003113F5"/>
    <w:rPr>
      <w:rFonts w:cs="Arial"/>
      <w:bCs/>
      <w:i/>
      <w:kern w:val="28"/>
    </w:rPr>
  </w:style>
  <w:style w:type="character" w:customStyle="1" w:styleId="Ann20intestazionepaginapariCarattere">
    <w:name w:val="Ann_20_intestazione pagina_pari Carattere"/>
    <w:basedOn w:val="Ann19intestazionepaginadispariCarattereCarattere"/>
    <w:link w:val="Ann20intestazionepaginapari"/>
    <w:rsid w:val="003113F5"/>
    <w:rPr>
      <w:rFonts w:cs="Arial"/>
      <w:bCs/>
      <w:i/>
      <w:kern w:val="28"/>
    </w:rPr>
  </w:style>
  <w:style w:type="paragraph" w:customStyle="1" w:styleId="Ann02TitoloCapitoloconautoriaseguito">
    <w:name w:val="Ann_02_Titolo Capitolo con autori a seguito"/>
    <w:basedOn w:val="Ann02TitoloCapitolo"/>
    <w:next w:val="Ann01Testo"/>
    <w:rsid w:val="003113F5"/>
    <w:pPr>
      <w:spacing w:after="400"/>
    </w:pPr>
  </w:style>
  <w:style w:type="paragraph" w:customStyle="1" w:styleId="Ann16bTavolatestata">
    <w:name w:val="Ann_16_b_Tavola testata"/>
    <w:basedOn w:val="Normale"/>
    <w:rsid w:val="003113F5"/>
    <w:pPr>
      <w:tabs>
        <w:tab w:val="right" w:leader="dot" w:pos="7371"/>
      </w:tabs>
      <w:jc w:val="center"/>
    </w:pPr>
    <w:rPr>
      <w:rFonts w:ascii="Arial" w:hAnsi="Arial" w:cs="Arial"/>
      <w:sz w:val="14"/>
      <w:szCs w:val="14"/>
    </w:rPr>
  </w:style>
  <w:style w:type="paragraph" w:customStyle="1" w:styleId="Ann01Testo">
    <w:name w:val="Ann_01_Testo"/>
    <w:basedOn w:val="Titolo1"/>
    <w:link w:val="Ann01TestoCarattereCarattere"/>
    <w:rsid w:val="003113F5"/>
    <w:pPr>
      <w:tabs>
        <w:tab w:val="right" w:leader="dot" w:pos="7371"/>
      </w:tabs>
      <w:spacing w:before="0" w:beforeAutospacing="0" w:after="0" w:afterAutospacing="0"/>
      <w:ind w:firstLine="397"/>
      <w:jc w:val="both"/>
    </w:pPr>
    <w:rPr>
      <w:b w:val="0"/>
      <w:kern w:val="28"/>
      <w:sz w:val="22"/>
      <w:szCs w:val="22"/>
    </w:rPr>
  </w:style>
  <w:style w:type="paragraph" w:customStyle="1" w:styleId="Ann22Parolechiave">
    <w:name w:val="Ann_22_Parole chiave"/>
    <w:basedOn w:val="Normale"/>
    <w:link w:val="Ann22ParolechiaveCarattereCarattere"/>
    <w:rsid w:val="003113F5"/>
    <w:pPr>
      <w:widowControl w:val="0"/>
      <w:spacing w:before="480" w:after="200"/>
      <w:ind w:left="340" w:hanging="340"/>
      <w:jc w:val="both"/>
    </w:pPr>
    <w:rPr>
      <w:b/>
      <w:sz w:val="22"/>
    </w:rPr>
  </w:style>
  <w:style w:type="paragraph" w:customStyle="1" w:styleId="InfTitolocapitolo">
    <w:name w:val="Inf_Titolo capitolo"/>
    <w:semiHidden/>
    <w:rsid w:val="003113F5"/>
    <w:pPr>
      <w:jc w:val="center"/>
    </w:pPr>
    <w:rPr>
      <w:rFonts w:ascii="Arial" w:hAnsi="Arial" w:cs="Arial"/>
      <w:b/>
      <w:sz w:val="28"/>
      <w:szCs w:val="28"/>
    </w:rPr>
  </w:style>
  <w:style w:type="paragraph" w:customStyle="1" w:styleId="Ann02TitoloCapitolo">
    <w:name w:val="Ann_02_Titolo Capitolo"/>
    <w:next w:val="InfTestocorrente"/>
    <w:link w:val="Ann02TitoloCapitoloCarattere"/>
    <w:rsid w:val="003113F5"/>
    <w:pPr>
      <w:spacing w:after="840"/>
      <w:jc w:val="center"/>
    </w:pPr>
    <w:rPr>
      <w:rFonts w:cs="Arial"/>
      <w:bCs/>
      <w:smallCaps/>
      <w:sz w:val="30"/>
      <w:szCs w:val="28"/>
    </w:rPr>
  </w:style>
  <w:style w:type="paragraph" w:customStyle="1" w:styleId="Inftitoloparagrafo">
    <w:name w:val="Inf_titolo paragrafo"/>
    <w:next w:val="InfTestocorrente"/>
    <w:semiHidden/>
    <w:rsid w:val="003113F5"/>
    <w:pPr>
      <w:tabs>
        <w:tab w:val="left" w:pos="432"/>
        <w:tab w:val="left" w:pos="720"/>
        <w:tab w:val="left" w:pos="1440"/>
        <w:tab w:val="left" w:pos="2160"/>
        <w:tab w:val="left" w:pos="3119"/>
        <w:tab w:val="left" w:pos="3600"/>
        <w:tab w:val="left" w:pos="4320"/>
        <w:tab w:val="left" w:pos="5040"/>
        <w:tab w:val="left" w:pos="5760"/>
        <w:tab w:val="left" w:pos="6480"/>
        <w:tab w:val="left" w:pos="7200"/>
        <w:tab w:val="left" w:pos="7920"/>
        <w:tab w:val="left" w:pos="8640"/>
      </w:tabs>
    </w:pPr>
    <w:rPr>
      <w:b/>
      <w:sz w:val="22"/>
      <w:szCs w:val="22"/>
    </w:rPr>
  </w:style>
  <w:style w:type="paragraph" w:customStyle="1" w:styleId="Ann03Titoloparagrafo">
    <w:name w:val="Ann_03_Titolo paragrafo"/>
    <w:basedOn w:val="Normale"/>
    <w:link w:val="Ann03TitoloparagrafoCarattereCarattere"/>
    <w:rsid w:val="003113F5"/>
    <w:pPr>
      <w:tabs>
        <w:tab w:val="left" w:pos="432"/>
        <w:tab w:val="left" w:pos="720"/>
        <w:tab w:val="left" w:pos="1440"/>
        <w:tab w:val="left" w:pos="2160"/>
        <w:tab w:val="left" w:pos="3119"/>
        <w:tab w:val="left" w:pos="3600"/>
        <w:tab w:val="left" w:pos="4320"/>
        <w:tab w:val="left" w:pos="5040"/>
        <w:tab w:val="left" w:pos="5760"/>
        <w:tab w:val="left" w:pos="6480"/>
        <w:tab w:val="left" w:pos="7200"/>
        <w:tab w:val="right" w:leader="dot" w:pos="7371"/>
        <w:tab w:val="left" w:pos="7920"/>
        <w:tab w:val="left" w:pos="8640"/>
      </w:tabs>
      <w:spacing w:before="440" w:after="220"/>
    </w:pPr>
    <w:rPr>
      <w:b/>
      <w:sz w:val="22"/>
      <w:szCs w:val="22"/>
    </w:rPr>
  </w:style>
  <w:style w:type="character" w:customStyle="1" w:styleId="Ann03TitoloparagrafoCarattereCarattere">
    <w:name w:val="Ann_03_Titolo paragrafo Carattere Carattere"/>
    <w:link w:val="Ann03Titoloparagrafo"/>
    <w:rsid w:val="003113F5"/>
    <w:rPr>
      <w:b/>
      <w:sz w:val="22"/>
      <w:szCs w:val="22"/>
    </w:rPr>
  </w:style>
  <w:style w:type="paragraph" w:customStyle="1" w:styleId="Ann04Titolosottoparagrafo">
    <w:name w:val="Ann_04_Titolo sottoparagrafo"/>
    <w:basedOn w:val="Normale"/>
    <w:link w:val="Ann04TitolosottoparagrafoCarattereCarattere"/>
    <w:rsid w:val="003113F5"/>
    <w:pPr>
      <w:tabs>
        <w:tab w:val="left" w:pos="432"/>
        <w:tab w:val="left" w:pos="720"/>
        <w:tab w:val="left" w:pos="1440"/>
        <w:tab w:val="left" w:pos="2160"/>
        <w:tab w:val="left" w:pos="3119"/>
        <w:tab w:val="left" w:pos="3600"/>
        <w:tab w:val="left" w:pos="4320"/>
        <w:tab w:val="left" w:pos="5040"/>
        <w:tab w:val="left" w:pos="5760"/>
        <w:tab w:val="left" w:pos="6480"/>
        <w:tab w:val="left" w:pos="7200"/>
        <w:tab w:val="right" w:leader="dot" w:pos="7371"/>
        <w:tab w:val="left" w:pos="7920"/>
        <w:tab w:val="left" w:pos="8640"/>
      </w:tabs>
      <w:spacing w:before="220" w:after="40"/>
      <w:ind w:left="680" w:hanging="680"/>
      <w:jc w:val="both"/>
    </w:pPr>
    <w:rPr>
      <w:i/>
      <w:sz w:val="22"/>
      <w:szCs w:val="22"/>
    </w:rPr>
  </w:style>
  <w:style w:type="character" w:customStyle="1" w:styleId="Ann04TitolosottoparagrafoCarattereCarattere">
    <w:name w:val="Ann_04_Titolo sottoparagrafo Carattere Carattere"/>
    <w:link w:val="Ann04Titolosottoparagrafo"/>
    <w:rsid w:val="003113F5"/>
    <w:rPr>
      <w:i/>
      <w:sz w:val="22"/>
      <w:szCs w:val="22"/>
    </w:rPr>
  </w:style>
  <w:style w:type="paragraph" w:customStyle="1" w:styleId="Lineaseparatorenotepidipagina">
    <w:name w:val="Linea separatore note piè di pagina"/>
    <w:basedOn w:val="Normale"/>
    <w:semiHidden/>
    <w:rsid w:val="003113F5"/>
    <w:pPr>
      <w:tabs>
        <w:tab w:val="right" w:leader="dot" w:pos="7371"/>
      </w:tabs>
    </w:pPr>
    <w:rPr>
      <w:sz w:val="22"/>
      <w:szCs w:val="22"/>
    </w:rPr>
  </w:style>
  <w:style w:type="character" w:customStyle="1" w:styleId="Titolo1Carattere1">
    <w:name w:val="Titolo 1 Carattere1"/>
    <w:aliases w:val=" Carattere Carattere"/>
    <w:link w:val="Titolo1"/>
    <w:rsid w:val="003113F5"/>
    <w:rPr>
      <w:b/>
      <w:bCs/>
      <w:kern w:val="36"/>
      <w:sz w:val="48"/>
      <w:szCs w:val="48"/>
    </w:rPr>
  </w:style>
  <w:style w:type="character" w:customStyle="1" w:styleId="Ann01TestoCarattereCarattere">
    <w:name w:val="Ann_01_Testo Carattere Carattere"/>
    <w:link w:val="Ann01Testo"/>
    <w:rsid w:val="003113F5"/>
    <w:rPr>
      <w:bCs/>
      <w:kern w:val="28"/>
      <w:sz w:val="22"/>
      <w:szCs w:val="22"/>
    </w:rPr>
  </w:style>
  <w:style w:type="character" w:customStyle="1" w:styleId="Ann22ParolechiaveCarattereCarattere">
    <w:name w:val="Ann_22_Parole chiave Carattere Carattere"/>
    <w:link w:val="Ann22Parolechiave"/>
    <w:rsid w:val="003113F5"/>
    <w:rPr>
      <w:b/>
      <w:sz w:val="22"/>
      <w:szCs w:val="24"/>
    </w:rPr>
  </w:style>
  <w:style w:type="paragraph" w:customStyle="1" w:styleId="Ann21Testosommario">
    <w:name w:val="Ann_21_Testo sommario"/>
    <w:basedOn w:val="Normale"/>
    <w:rsid w:val="003113F5"/>
    <w:pPr>
      <w:widowControl w:val="0"/>
      <w:spacing w:after="240"/>
      <w:jc w:val="both"/>
    </w:pPr>
    <w:rPr>
      <w:i/>
      <w:sz w:val="21"/>
      <w:szCs w:val="20"/>
      <w:lang w:val="en-GB"/>
    </w:rPr>
  </w:style>
  <w:style w:type="numbering" w:customStyle="1" w:styleId="Ann05Testoelenconumerico">
    <w:name w:val="Ann_05_Testo elenco numerico"/>
    <w:basedOn w:val="Nessunelenco"/>
    <w:rsid w:val="003113F5"/>
    <w:pPr>
      <w:numPr>
        <w:numId w:val="9"/>
      </w:numPr>
    </w:pPr>
  </w:style>
  <w:style w:type="paragraph" w:customStyle="1" w:styleId="Ann10bIndiceTITOLOPARTI">
    <w:name w:val="Ann_10b_Indice TITOLO PARTI"/>
    <w:basedOn w:val="Ann01Testo"/>
    <w:next w:val="Ann01Testo"/>
    <w:rsid w:val="003113F5"/>
    <w:pPr>
      <w:ind w:firstLine="0"/>
      <w:jc w:val="center"/>
    </w:pPr>
    <w:rPr>
      <w:caps/>
    </w:rPr>
  </w:style>
  <w:style w:type="paragraph" w:customStyle="1" w:styleId="Ann23numeronotaapice">
    <w:name w:val="Ann_23_numero nota 'apice'"/>
    <w:basedOn w:val="Ann08Testonotapipagina"/>
    <w:link w:val="Ann23numeronotaapiceCarattere"/>
    <w:rsid w:val="003113F5"/>
    <w:rPr>
      <w:vertAlign w:val="superscript"/>
    </w:rPr>
  </w:style>
  <w:style w:type="paragraph" w:customStyle="1" w:styleId="Ann21Titolosommario">
    <w:name w:val="Ann_21_Titolo sommario"/>
    <w:basedOn w:val="Ann22Parolechiave"/>
    <w:rsid w:val="003113F5"/>
    <w:rPr>
      <w:sz w:val="24"/>
    </w:rPr>
  </w:style>
  <w:style w:type="numbering" w:customStyle="1" w:styleId="Ann06Testoelencoalfabetico">
    <w:name w:val="Ann_06_Testo elenco alfabetico"/>
    <w:basedOn w:val="Nessunelenco"/>
    <w:rsid w:val="003113F5"/>
    <w:pPr>
      <w:numPr>
        <w:numId w:val="10"/>
      </w:numPr>
    </w:pPr>
  </w:style>
  <w:style w:type="character" w:customStyle="1" w:styleId="Ann08TestonotapipaginaCarattere">
    <w:name w:val="Ann_08_Testo nota piè pagina Carattere"/>
    <w:link w:val="Ann08Testonotapipagina"/>
    <w:rsid w:val="003113F5"/>
    <w:rPr>
      <w:sz w:val="16"/>
      <w:szCs w:val="16"/>
    </w:rPr>
  </w:style>
  <w:style w:type="character" w:customStyle="1" w:styleId="Ann23numeronotaapiceCarattere">
    <w:name w:val="Ann_23_numero nota 'apice' Carattere"/>
    <w:link w:val="Ann23numeronotaapice"/>
    <w:rsid w:val="003113F5"/>
    <w:rPr>
      <w:sz w:val="16"/>
      <w:szCs w:val="16"/>
      <w:vertAlign w:val="superscript"/>
    </w:rPr>
  </w:style>
  <w:style w:type="table" w:styleId="Grigliatabella">
    <w:name w:val="Table Grid"/>
    <w:basedOn w:val="Tabellanormale"/>
    <w:uiPriority w:val="59"/>
    <w:rsid w:val="003113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3Carattere">
    <w:name w:val="Titolo 3 Carattere"/>
    <w:basedOn w:val="Carpredefinitoparagrafo"/>
    <w:link w:val="Titolo3"/>
    <w:rsid w:val="003113F5"/>
    <w:rPr>
      <w:b/>
      <w:bCs/>
      <w:sz w:val="27"/>
      <w:szCs w:val="27"/>
    </w:rPr>
  </w:style>
  <w:style w:type="numbering" w:customStyle="1" w:styleId="Nessunelenco1">
    <w:name w:val="Nessun elenco1"/>
    <w:next w:val="Nessunelenco"/>
    <w:uiPriority w:val="99"/>
    <w:semiHidden/>
    <w:unhideWhenUsed/>
    <w:rsid w:val="003113F5"/>
  </w:style>
  <w:style w:type="paragraph" w:styleId="Paragrafoelenco">
    <w:name w:val="List Paragraph"/>
    <w:basedOn w:val="Normale"/>
    <w:uiPriority w:val="34"/>
    <w:qFormat/>
    <w:rsid w:val="003113F5"/>
    <w:pPr>
      <w:spacing w:after="200" w:line="276" w:lineRule="auto"/>
      <w:ind w:left="720"/>
      <w:contextualSpacing/>
    </w:pPr>
    <w:rPr>
      <w:rFonts w:ascii="Calibri" w:hAnsi="Calibri"/>
      <w:sz w:val="22"/>
      <w:szCs w:val="22"/>
    </w:rPr>
  </w:style>
  <w:style w:type="character" w:customStyle="1" w:styleId="IntestazioneCarattere">
    <w:name w:val="Intestazione Carattere"/>
    <w:basedOn w:val="Carpredefinitoparagrafo"/>
    <w:link w:val="Intestazione"/>
    <w:rsid w:val="003113F5"/>
    <w:rPr>
      <w:sz w:val="24"/>
      <w:szCs w:val="24"/>
    </w:rPr>
  </w:style>
  <w:style w:type="paragraph" w:customStyle="1" w:styleId="Normale1">
    <w:name w:val="Normale1"/>
    <w:rsid w:val="003113F5"/>
    <w:pPr>
      <w:suppressAutoHyphens/>
      <w:spacing w:after="200" w:line="276" w:lineRule="auto"/>
    </w:pPr>
    <w:rPr>
      <w:rFonts w:eastAsia="ヒラギノ角ゴ Pro W3"/>
      <w:color w:val="000000"/>
      <w:sz w:val="22"/>
      <w:lang w:eastAsia="ar-SA"/>
    </w:rPr>
  </w:style>
  <w:style w:type="character" w:customStyle="1" w:styleId="TestonotaapidipaginaCarattere">
    <w:name w:val="Testo nota a piè di pagina Carattere"/>
    <w:aliases w:val="Footnote Carattere,Footnote1 Carattere,Footnote2 Carattere,Footnote3 Carattere,Footnote4 Carattere,Footnote5 Carattere,Footnote6 Carattere,Footnote7 Carattere,Footnote8 Carattere,Footnote9 Carattere"/>
    <w:basedOn w:val="Carpredefinitoparagrafo"/>
    <w:link w:val="Testonotaapidipagina"/>
    <w:rsid w:val="003113F5"/>
    <w:rPr>
      <w:rFonts w:ascii="Arial" w:hAnsi="Arial" w:cs="Arial"/>
      <w:color w:val="000000"/>
    </w:rPr>
  </w:style>
  <w:style w:type="paragraph" w:customStyle="1" w:styleId="01Titolocapitolo">
    <w:name w:val="01_Titolo capitolo"/>
    <w:basedOn w:val="Paragrafoelenco"/>
    <w:qFormat/>
    <w:rsid w:val="003113F5"/>
    <w:pPr>
      <w:numPr>
        <w:numId w:val="12"/>
      </w:numPr>
      <w:suppressAutoHyphens/>
      <w:spacing w:after="1080" w:line="320" w:lineRule="exact"/>
      <w:ind w:left="567" w:hanging="567"/>
      <w:jc w:val="both"/>
    </w:pPr>
    <w:rPr>
      <w:rFonts w:ascii="Arial Black" w:hAnsi="Arial Black"/>
      <w:color w:val="CC0000"/>
      <w:sz w:val="32"/>
      <w:szCs w:val="32"/>
    </w:rPr>
  </w:style>
  <w:style w:type="paragraph" w:customStyle="1" w:styleId="02Titoloparagrafo">
    <w:name w:val="02_Titolo paragrafo"/>
    <w:basedOn w:val="Normale"/>
    <w:qFormat/>
    <w:rsid w:val="003113F5"/>
    <w:pPr>
      <w:suppressAutoHyphens/>
      <w:spacing w:after="600" w:line="280" w:lineRule="exact"/>
      <w:ind w:left="567" w:hanging="567"/>
      <w:jc w:val="both"/>
    </w:pPr>
    <w:rPr>
      <w:rFonts w:ascii="Arial" w:hAnsi="Arial"/>
      <w:sz w:val="28"/>
      <w:szCs w:val="28"/>
    </w:rPr>
  </w:style>
  <w:style w:type="paragraph" w:customStyle="1" w:styleId="03testocorrente">
    <w:name w:val="03_testo corrente"/>
    <w:basedOn w:val="Normale"/>
    <w:qFormat/>
    <w:rsid w:val="003113F5"/>
    <w:pPr>
      <w:spacing w:line="280" w:lineRule="exact"/>
      <w:ind w:firstLine="227"/>
      <w:jc w:val="both"/>
    </w:pPr>
    <w:rPr>
      <w:rFonts w:ascii="Arial Narrow" w:hAnsi="Arial Narrow"/>
    </w:rPr>
  </w:style>
  <w:style w:type="paragraph" w:customStyle="1" w:styleId="04Elencopuntato">
    <w:name w:val="04_Elenco puntato"/>
    <w:basedOn w:val="Paragrafoelenco"/>
    <w:qFormat/>
    <w:rsid w:val="003113F5"/>
    <w:pPr>
      <w:numPr>
        <w:numId w:val="13"/>
      </w:numPr>
      <w:spacing w:after="0" w:line="280" w:lineRule="exact"/>
      <w:ind w:left="454" w:hanging="227"/>
      <w:jc w:val="both"/>
    </w:pPr>
    <w:rPr>
      <w:rFonts w:ascii="Arial Narrow" w:hAnsi="Arial Narrow"/>
      <w:sz w:val="24"/>
      <w:szCs w:val="24"/>
    </w:rPr>
  </w:style>
  <w:style w:type="paragraph" w:customStyle="1" w:styleId="05Notaapipagina">
    <w:name w:val="05_Nota a piè pagina"/>
    <w:basedOn w:val="Testonotaapidipagina"/>
    <w:qFormat/>
    <w:rsid w:val="003113F5"/>
    <w:pPr>
      <w:tabs>
        <w:tab w:val="right" w:leader="dot" w:pos="7371"/>
      </w:tabs>
    </w:pPr>
    <w:rPr>
      <w:rFonts w:ascii="Times New Roman" w:hAnsi="Times New Roman" w:cs="Times New Roman"/>
      <w:color w:val="auto"/>
      <w:szCs w:val="22"/>
    </w:rPr>
  </w:style>
  <w:style w:type="paragraph" w:customStyle="1" w:styleId="06Prospetto">
    <w:name w:val="06_Prospetto"/>
    <w:basedOn w:val="Normale"/>
    <w:qFormat/>
    <w:rsid w:val="003113F5"/>
    <w:pPr>
      <w:tabs>
        <w:tab w:val="left" w:pos="567"/>
      </w:tabs>
      <w:spacing w:line="240" w:lineRule="exact"/>
      <w:jc w:val="both"/>
    </w:pPr>
    <w:rPr>
      <w:rFonts w:ascii="Arial" w:hAnsi="Arial" w:cs="Arial"/>
      <w:b/>
      <w:bCs/>
      <w:color w:val="CC0000"/>
      <w:sz w:val="18"/>
      <w:szCs w:val="18"/>
    </w:rPr>
  </w:style>
  <w:style w:type="paragraph" w:customStyle="1" w:styleId="07Titoloprospetto">
    <w:name w:val="07_Titolo prospetto"/>
    <w:basedOn w:val="Normale"/>
    <w:qFormat/>
    <w:rsid w:val="003113F5"/>
    <w:pPr>
      <w:tabs>
        <w:tab w:val="left" w:pos="567"/>
      </w:tabs>
      <w:spacing w:after="240" w:line="240" w:lineRule="exact"/>
      <w:jc w:val="both"/>
    </w:pPr>
    <w:rPr>
      <w:rFonts w:ascii="Arial" w:hAnsi="Arial" w:cs="Arial"/>
      <w:b/>
      <w:sz w:val="18"/>
      <w:szCs w:val="18"/>
    </w:rPr>
  </w:style>
  <w:style w:type="paragraph" w:customStyle="1" w:styleId="08Fiancataprospetto">
    <w:name w:val="08_Fiancata prospetto"/>
    <w:basedOn w:val="Normale"/>
    <w:qFormat/>
    <w:rsid w:val="003113F5"/>
    <w:pPr>
      <w:spacing w:line="280" w:lineRule="exact"/>
      <w:jc w:val="both"/>
    </w:pPr>
    <w:rPr>
      <w:rFonts w:ascii="Arial" w:hAnsi="Arial" w:cs="Arial"/>
      <w:sz w:val="14"/>
      <w:szCs w:val="14"/>
    </w:rPr>
  </w:style>
  <w:style w:type="paragraph" w:customStyle="1" w:styleId="09DatiProspetto">
    <w:name w:val="09_Dati Prospetto"/>
    <w:basedOn w:val="Normale"/>
    <w:qFormat/>
    <w:rsid w:val="003113F5"/>
    <w:pPr>
      <w:spacing w:line="280" w:lineRule="exact"/>
      <w:jc w:val="right"/>
    </w:pPr>
    <w:rPr>
      <w:rFonts w:ascii="Arial" w:hAnsi="Arial" w:cs="Arial"/>
      <w:sz w:val="14"/>
      <w:szCs w:val="14"/>
    </w:rPr>
  </w:style>
  <w:style w:type="paragraph" w:customStyle="1" w:styleId="10Notaprospetto">
    <w:name w:val="10_Nota prospetto"/>
    <w:basedOn w:val="Normale"/>
    <w:qFormat/>
    <w:rsid w:val="003113F5"/>
    <w:pPr>
      <w:spacing w:before="120" w:after="200"/>
      <w:ind w:left="227" w:hanging="227"/>
      <w:jc w:val="both"/>
    </w:pPr>
    <w:rPr>
      <w:rFonts w:ascii="Arial" w:hAnsi="Arial" w:cs="Arial"/>
      <w:sz w:val="14"/>
      <w:szCs w:val="14"/>
    </w:rPr>
  </w:style>
  <w:style w:type="paragraph" w:customStyle="1" w:styleId="11Titolobox">
    <w:name w:val="11_Titolo box"/>
    <w:basedOn w:val="Normale"/>
    <w:qFormat/>
    <w:rsid w:val="003113F5"/>
    <w:pPr>
      <w:spacing w:before="240" w:after="240" w:line="280" w:lineRule="exact"/>
      <w:jc w:val="center"/>
    </w:pPr>
    <w:rPr>
      <w:rFonts w:ascii="Arial Black" w:hAnsi="Arial Black" w:cs="Arial"/>
      <w:b/>
      <w:color w:val="C00000"/>
    </w:rPr>
  </w:style>
  <w:style w:type="paragraph" w:customStyle="1" w:styleId="12Testobox">
    <w:name w:val="12_Testo box"/>
    <w:basedOn w:val="Normale"/>
    <w:qFormat/>
    <w:rsid w:val="003113F5"/>
    <w:pPr>
      <w:spacing w:line="280" w:lineRule="exact"/>
      <w:ind w:left="227" w:right="227"/>
      <w:jc w:val="both"/>
    </w:pPr>
    <w:rPr>
      <w:rFonts w:ascii="Arial" w:hAnsi="Arial" w:cs="Arial"/>
      <w:sz w:val="22"/>
      <w:szCs w:val="22"/>
    </w:rPr>
  </w:style>
  <w:style w:type="paragraph" w:customStyle="1" w:styleId="13Figura">
    <w:name w:val="13_Figura"/>
    <w:basedOn w:val="Normale"/>
    <w:qFormat/>
    <w:rsid w:val="003113F5"/>
    <w:pPr>
      <w:tabs>
        <w:tab w:val="left" w:pos="567"/>
      </w:tabs>
      <w:spacing w:line="240" w:lineRule="exact"/>
      <w:jc w:val="both"/>
    </w:pPr>
    <w:rPr>
      <w:rFonts w:ascii="Arial" w:hAnsi="Arial" w:cs="Arial"/>
      <w:b/>
      <w:bCs/>
      <w:color w:val="CC0000"/>
      <w:sz w:val="18"/>
      <w:szCs w:val="18"/>
    </w:rPr>
  </w:style>
  <w:style w:type="paragraph" w:customStyle="1" w:styleId="14Titolofigura">
    <w:name w:val="14_Titolo figura"/>
    <w:basedOn w:val="Normale"/>
    <w:qFormat/>
    <w:rsid w:val="003113F5"/>
    <w:pPr>
      <w:tabs>
        <w:tab w:val="left" w:pos="567"/>
      </w:tabs>
      <w:spacing w:after="240" w:line="260" w:lineRule="exact"/>
      <w:jc w:val="both"/>
    </w:pPr>
    <w:rPr>
      <w:rFonts w:ascii="Arial" w:hAnsi="Arial" w:cs="Arial"/>
      <w:b/>
      <w:sz w:val="18"/>
      <w:szCs w:val="18"/>
    </w:rPr>
  </w:style>
  <w:style w:type="paragraph" w:customStyle="1" w:styleId="15Lineafigura">
    <w:name w:val="15_Linea figura"/>
    <w:basedOn w:val="Normale"/>
    <w:qFormat/>
    <w:rsid w:val="003113F5"/>
    <w:pPr>
      <w:pBdr>
        <w:top w:val="single" w:sz="12" w:space="0" w:color="808080"/>
      </w:pBdr>
      <w:shd w:val="clear" w:color="auto" w:fill="FFFFFF"/>
      <w:tabs>
        <w:tab w:val="left" w:pos="567"/>
      </w:tabs>
      <w:spacing w:after="40" w:line="100" w:lineRule="exact"/>
      <w:jc w:val="both"/>
    </w:pPr>
    <w:rPr>
      <w:rFonts w:ascii="Arial Narrow" w:hAnsi="Arial Narrow"/>
      <w:b/>
      <w:caps/>
      <w:color w:val="FFFFFF"/>
      <w:sz w:val="22"/>
      <w:szCs w:val="22"/>
    </w:rPr>
  </w:style>
  <w:style w:type="paragraph" w:customStyle="1" w:styleId="16Sommario">
    <w:name w:val="16_Sommario"/>
    <w:basedOn w:val="Normale"/>
    <w:qFormat/>
    <w:rsid w:val="003113F5"/>
    <w:pPr>
      <w:spacing w:after="1080" w:line="280" w:lineRule="exact"/>
      <w:jc w:val="both"/>
    </w:pPr>
    <w:rPr>
      <w:rFonts w:ascii="Arial Black" w:hAnsi="Arial Black"/>
      <w:color w:val="CC0000"/>
      <w:sz w:val="32"/>
      <w:szCs w:val="32"/>
    </w:rPr>
  </w:style>
  <w:style w:type="paragraph" w:customStyle="1" w:styleId="17Sommariopresentazione">
    <w:name w:val="17_Sommario presentazione"/>
    <w:basedOn w:val="Normale"/>
    <w:qFormat/>
    <w:rsid w:val="003113F5"/>
    <w:pPr>
      <w:tabs>
        <w:tab w:val="right" w:leader="dot" w:pos="9214"/>
      </w:tabs>
      <w:spacing w:before="240" w:after="240" w:line="300" w:lineRule="exact"/>
      <w:ind w:left="425" w:hanging="425"/>
      <w:jc w:val="both"/>
    </w:pPr>
    <w:rPr>
      <w:rFonts w:ascii="Arial Narrow" w:hAnsi="Arial Narrow"/>
      <w:b/>
    </w:rPr>
  </w:style>
  <w:style w:type="paragraph" w:customStyle="1" w:styleId="18Sommariocapitolo">
    <w:name w:val="18_Sommario capitolo"/>
    <w:basedOn w:val="Normale"/>
    <w:qFormat/>
    <w:rsid w:val="003113F5"/>
    <w:pPr>
      <w:tabs>
        <w:tab w:val="right" w:leader="dot" w:pos="9214"/>
      </w:tabs>
      <w:spacing w:before="240" w:after="240" w:line="300" w:lineRule="exact"/>
      <w:ind w:left="425" w:hanging="425"/>
      <w:jc w:val="both"/>
    </w:pPr>
    <w:rPr>
      <w:rFonts w:ascii="Arial Narrow" w:hAnsi="Arial Narrow"/>
      <w:b/>
    </w:rPr>
  </w:style>
  <w:style w:type="paragraph" w:customStyle="1" w:styleId="19Sommarioparagrafo">
    <w:name w:val="19_Sommario paragrafo"/>
    <w:basedOn w:val="Normale"/>
    <w:qFormat/>
    <w:rsid w:val="003113F5"/>
    <w:pPr>
      <w:tabs>
        <w:tab w:val="right" w:leader="dot" w:pos="9214"/>
      </w:tabs>
      <w:spacing w:line="300" w:lineRule="exact"/>
      <w:ind w:left="879" w:hanging="454"/>
      <w:jc w:val="both"/>
    </w:pPr>
    <w:rPr>
      <w:rFonts w:ascii="Arial Narrow" w:hAnsi="Arial Narrow"/>
    </w:rPr>
  </w:style>
  <w:style w:type="paragraph" w:customStyle="1" w:styleId="lineaprospetto">
    <w:name w:val="linea prospetto"/>
    <w:basedOn w:val="Normale"/>
    <w:qFormat/>
    <w:rsid w:val="003113F5"/>
    <w:pPr>
      <w:spacing w:line="280" w:lineRule="exact"/>
      <w:jc w:val="both"/>
    </w:pPr>
    <w:rPr>
      <w:rFonts w:ascii="Arial" w:hAnsi="Arial" w:cs="Arial"/>
      <w:sz w:val="14"/>
      <w:szCs w:val="14"/>
    </w:rPr>
  </w:style>
  <w:style w:type="paragraph" w:customStyle="1" w:styleId="12TestoBOX0">
    <w:name w:val="12_Testo (BOX)"/>
    <w:basedOn w:val="Normale"/>
    <w:qFormat/>
    <w:rsid w:val="003113F5"/>
    <w:pPr>
      <w:spacing w:line="280" w:lineRule="exact"/>
      <w:ind w:left="227" w:right="227"/>
      <w:jc w:val="both"/>
    </w:pPr>
    <w:rPr>
      <w:rFonts w:ascii="Arial" w:hAnsi="Arial" w:cs="Arial"/>
      <w:sz w:val="22"/>
      <w:szCs w:val="22"/>
    </w:rPr>
  </w:style>
  <w:style w:type="character" w:styleId="Rimandocommento">
    <w:name w:val="annotation reference"/>
    <w:uiPriority w:val="99"/>
    <w:rsid w:val="003113F5"/>
    <w:rPr>
      <w:sz w:val="16"/>
      <w:szCs w:val="16"/>
    </w:rPr>
  </w:style>
  <w:style w:type="paragraph" w:styleId="Testocommento">
    <w:name w:val="annotation text"/>
    <w:basedOn w:val="Normale"/>
    <w:link w:val="TestocommentoCarattere"/>
    <w:rsid w:val="003113F5"/>
    <w:rPr>
      <w:sz w:val="20"/>
      <w:szCs w:val="20"/>
    </w:rPr>
  </w:style>
  <w:style w:type="character" w:customStyle="1" w:styleId="TestocommentoCarattere">
    <w:name w:val="Testo commento Carattere"/>
    <w:basedOn w:val="Carpredefinitoparagrafo"/>
    <w:link w:val="Testocommento"/>
    <w:rsid w:val="003113F5"/>
  </w:style>
  <w:style w:type="paragraph" w:styleId="Soggettocommento">
    <w:name w:val="annotation subject"/>
    <w:basedOn w:val="Testocommento"/>
    <w:next w:val="Testocommento"/>
    <w:link w:val="SoggettocommentoCarattere"/>
    <w:rsid w:val="003113F5"/>
    <w:rPr>
      <w:b/>
      <w:bCs/>
    </w:rPr>
  </w:style>
  <w:style w:type="character" w:customStyle="1" w:styleId="SoggettocommentoCarattere">
    <w:name w:val="Soggetto commento Carattere"/>
    <w:basedOn w:val="TestocommentoCarattere"/>
    <w:link w:val="Soggettocommento"/>
    <w:rsid w:val="003113F5"/>
    <w:rPr>
      <w:b/>
      <w:bCs/>
    </w:rPr>
  </w:style>
  <w:style w:type="character" w:styleId="Enfasicorsivo">
    <w:name w:val="Emphasis"/>
    <w:qFormat/>
    <w:rsid w:val="003113F5"/>
    <w:rPr>
      <w:i/>
      <w:iCs/>
    </w:rPr>
  </w:style>
  <w:style w:type="paragraph" w:styleId="Revisione">
    <w:name w:val="Revision"/>
    <w:hidden/>
    <w:uiPriority w:val="99"/>
    <w:semiHidden/>
    <w:rsid w:val="003113F5"/>
    <w:rPr>
      <w:rFonts w:ascii="Calibri" w:hAnsi="Calibri"/>
      <w:sz w:val="22"/>
      <w:szCs w:val="22"/>
    </w:rPr>
  </w:style>
  <w:style w:type="paragraph" w:customStyle="1" w:styleId="20Sommariosottoparagrafo">
    <w:name w:val="20_Sommario sottoparagrafo"/>
    <w:basedOn w:val="Normale"/>
    <w:qFormat/>
    <w:rsid w:val="003113F5"/>
    <w:pPr>
      <w:tabs>
        <w:tab w:val="right" w:leader="dot" w:pos="9214"/>
      </w:tabs>
      <w:spacing w:line="300" w:lineRule="exact"/>
      <w:ind w:left="879" w:hanging="454"/>
      <w:jc w:val="both"/>
    </w:pPr>
    <w:rPr>
      <w:rFonts w:ascii="Arial Narrow" w:eastAsia="Calibri" w:hAnsi="Arial Narrow"/>
      <w:i/>
      <w:lang w:eastAsia="en-US"/>
    </w:rPr>
  </w:style>
  <w:style w:type="table" w:customStyle="1" w:styleId="Stile1">
    <w:name w:val="Stile1"/>
    <w:basedOn w:val="Tabellanormale"/>
    <w:uiPriority w:val="99"/>
    <w:rsid w:val="00465146"/>
    <w:pPr>
      <w:jc w:val="right"/>
    </w:pPr>
    <w:rPr>
      <w:rFonts w:ascii="Arial Narrow" w:hAnsi="Arial Narrow"/>
      <w:sz w:val="18"/>
    </w:rPr>
    <w:tblPr>
      <w:tblBorders>
        <w:top w:val="single" w:sz="4" w:space="0" w:color="auto"/>
        <w:bottom w:val="single" w:sz="4" w:space="0" w:color="auto"/>
        <w:insideH w:val="single" w:sz="4" w:space="0" w:color="auto"/>
      </w:tblBorders>
    </w:tblPr>
    <w:tcPr>
      <w:shd w:val="clear" w:color="auto" w:fill="FFFFFF" w:themeFill="background1"/>
      <w:vAlign w:val="center"/>
    </w:tcPr>
    <w:tblStylePr w:type="firstRow">
      <w:rPr>
        <w:b/>
      </w:rPr>
    </w:tblStylePr>
    <w:tblStylePr w:type="lastRow">
      <w:rPr>
        <w:b/>
        <w:color w:val="FFFFFF" w:themeColor="background1"/>
      </w:rPr>
      <w:tblPr/>
      <w:trPr>
        <w:cantSplit/>
      </w:trPr>
      <w:tcPr>
        <w:shd w:val="clear" w:color="auto" w:fill="943634" w:themeFill="accent2" w:themeFillShade="BF"/>
      </w:tcPr>
    </w:tblStylePr>
    <w:tblStylePr w:type="firstCol">
      <w:pPr>
        <w:jc w:val="left"/>
      </w:pPr>
    </w:tblStylePr>
  </w:style>
  <w:style w:type="table" w:styleId="Tabellaacolori2">
    <w:name w:val="Table Colorful 2"/>
    <w:basedOn w:val="Tabellanormale"/>
    <w:rsid w:val="0046514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Grigliatabella1">
    <w:name w:val="Griglia tabella1"/>
    <w:basedOn w:val="Tabellanormale"/>
    <w:next w:val="Grigliatabella"/>
    <w:uiPriority w:val="59"/>
    <w:rsid w:val="001A120C"/>
    <w:pPr>
      <w:ind w:left="170" w:hanging="17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rsid w:val="007923A3"/>
    <w:rPr>
      <w:color w:val="800080" w:themeColor="followedHyperlink"/>
      <w:u w:val="single"/>
    </w:rPr>
  </w:style>
  <w:style w:type="paragraph" w:styleId="PreformattatoHTML">
    <w:name w:val="HTML Preformatted"/>
    <w:basedOn w:val="Normale"/>
    <w:link w:val="PreformattatoHTMLCarattere"/>
    <w:uiPriority w:val="99"/>
    <w:unhideWhenUsed/>
    <w:rsid w:val="00F36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F36C98"/>
    <w:rPr>
      <w:rFonts w:ascii="Courier New" w:hAnsi="Courier New" w:cs="Courier New"/>
    </w:rPr>
  </w:style>
  <w:style w:type="character" w:styleId="Rimandonotadichiusura">
    <w:name w:val="endnote reference"/>
    <w:basedOn w:val="Carpredefinitoparagrafo"/>
    <w:rsid w:val="0082249F"/>
    <w:rPr>
      <w:vertAlign w:val="superscript"/>
    </w:rPr>
  </w:style>
  <w:style w:type="paragraph" w:styleId="Corpotesto">
    <w:name w:val="Body Text"/>
    <w:basedOn w:val="Normale"/>
    <w:link w:val="CorpotestoCarattere"/>
    <w:rsid w:val="0016168B"/>
    <w:pPr>
      <w:spacing w:after="120"/>
    </w:pPr>
  </w:style>
  <w:style w:type="character" w:customStyle="1" w:styleId="CorpotestoCarattere">
    <w:name w:val="Corpo testo Carattere"/>
    <w:basedOn w:val="Carpredefinitoparagrafo"/>
    <w:link w:val="Corpotesto"/>
    <w:rsid w:val="0016168B"/>
    <w:rPr>
      <w:sz w:val="24"/>
      <w:szCs w:val="24"/>
    </w:rPr>
  </w:style>
  <w:style w:type="paragraph" w:styleId="Corpodeltesto2">
    <w:name w:val="Body Text 2"/>
    <w:basedOn w:val="Normale"/>
    <w:link w:val="Corpodeltesto2Carattere"/>
    <w:rsid w:val="0016168B"/>
    <w:pPr>
      <w:spacing w:after="120" w:line="480" w:lineRule="auto"/>
    </w:pPr>
  </w:style>
  <w:style w:type="character" w:customStyle="1" w:styleId="Corpodeltesto2Carattere">
    <w:name w:val="Corpo del testo 2 Carattere"/>
    <w:basedOn w:val="Carpredefinitoparagrafo"/>
    <w:link w:val="Corpodeltesto2"/>
    <w:rsid w:val="0016168B"/>
    <w:rPr>
      <w:sz w:val="24"/>
      <w:szCs w:val="24"/>
    </w:rPr>
  </w:style>
  <w:style w:type="paragraph" w:styleId="Corpodeltesto3">
    <w:name w:val="Body Text 3"/>
    <w:basedOn w:val="Normale"/>
    <w:link w:val="Corpodeltesto3Carattere"/>
    <w:rsid w:val="0016168B"/>
    <w:pPr>
      <w:spacing w:after="120"/>
    </w:pPr>
    <w:rPr>
      <w:sz w:val="16"/>
      <w:szCs w:val="16"/>
    </w:rPr>
  </w:style>
  <w:style w:type="character" w:customStyle="1" w:styleId="Corpodeltesto3Carattere">
    <w:name w:val="Corpo del testo 3 Carattere"/>
    <w:basedOn w:val="Carpredefinitoparagrafo"/>
    <w:link w:val="Corpodeltesto3"/>
    <w:rsid w:val="0016168B"/>
    <w:rPr>
      <w:sz w:val="16"/>
      <w:szCs w:val="16"/>
    </w:rPr>
  </w:style>
  <w:style w:type="paragraph" w:customStyle="1" w:styleId="Rientrocorpodeltesto31">
    <w:name w:val="Rientro corpo del testo 31"/>
    <w:basedOn w:val="Normale"/>
    <w:uiPriority w:val="99"/>
    <w:rsid w:val="00DD1D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ind w:left="-567"/>
      <w:jc w:val="both"/>
    </w:pPr>
    <w:rPr>
      <w:spacing w:val="-3"/>
      <w:sz w:val="22"/>
      <w:szCs w:val="20"/>
      <w:lang w:eastAsia="ar-SA"/>
    </w:rPr>
  </w:style>
  <w:style w:type="character" w:styleId="Enfasigrassetto">
    <w:name w:val="Strong"/>
    <w:basedOn w:val="Carpredefinitoparagrafo"/>
    <w:uiPriority w:val="22"/>
    <w:qFormat/>
    <w:rsid w:val="00A65B5F"/>
    <w:rPr>
      <w:b/>
      <w:bCs/>
    </w:rPr>
  </w:style>
  <w:style w:type="table" w:styleId="Tabellasemplice-2">
    <w:name w:val="Plain Table 2"/>
    <w:basedOn w:val="Tabellanormale"/>
    <w:uiPriority w:val="42"/>
    <w:rsid w:val="00737D7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24kjd">
    <w:name w:val="e24kjd"/>
    <w:basedOn w:val="Carpredefinitoparagrafo"/>
    <w:rsid w:val="00F54A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9390">
      <w:bodyDiv w:val="1"/>
      <w:marLeft w:val="0"/>
      <w:marRight w:val="0"/>
      <w:marTop w:val="0"/>
      <w:marBottom w:val="0"/>
      <w:divBdr>
        <w:top w:val="none" w:sz="0" w:space="0" w:color="auto"/>
        <w:left w:val="none" w:sz="0" w:space="0" w:color="auto"/>
        <w:bottom w:val="none" w:sz="0" w:space="0" w:color="auto"/>
        <w:right w:val="none" w:sz="0" w:space="0" w:color="auto"/>
      </w:divBdr>
    </w:div>
    <w:div w:id="13653520">
      <w:bodyDiv w:val="1"/>
      <w:marLeft w:val="0"/>
      <w:marRight w:val="0"/>
      <w:marTop w:val="0"/>
      <w:marBottom w:val="0"/>
      <w:divBdr>
        <w:top w:val="none" w:sz="0" w:space="0" w:color="auto"/>
        <w:left w:val="none" w:sz="0" w:space="0" w:color="auto"/>
        <w:bottom w:val="none" w:sz="0" w:space="0" w:color="auto"/>
        <w:right w:val="none" w:sz="0" w:space="0" w:color="auto"/>
      </w:divBdr>
    </w:div>
    <w:div w:id="34158557">
      <w:bodyDiv w:val="1"/>
      <w:marLeft w:val="0"/>
      <w:marRight w:val="0"/>
      <w:marTop w:val="0"/>
      <w:marBottom w:val="0"/>
      <w:divBdr>
        <w:top w:val="none" w:sz="0" w:space="0" w:color="auto"/>
        <w:left w:val="none" w:sz="0" w:space="0" w:color="auto"/>
        <w:bottom w:val="none" w:sz="0" w:space="0" w:color="auto"/>
        <w:right w:val="none" w:sz="0" w:space="0" w:color="auto"/>
      </w:divBdr>
    </w:div>
    <w:div w:id="40330730">
      <w:bodyDiv w:val="1"/>
      <w:marLeft w:val="0"/>
      <w:marRight w:val="0"/>
      <w:marTop w:val="0"/>
      <w:marBottom w:val="0"/>
      <w:divBdr>
        <w:top w:val="none" w:sz="0" w:space="0" w:color="auto"/>
        <w:left w:val="none" w:sz="0" w:space="0" w:color="auto"/>
        <w:bottom w:val="none" w:sz="0" w:space="0" w:color="auto"/>
        <w:right w:val="none" w:sz="0" w:space="0" w:color="auto"/>
      </w:divBdr>
    </w:div>
    <w:div w:id="48774446">
      <w:bodyDiv w:val="1"/>
      <w:marLeft w:val="0"/>
      <w:marRight w:val="0"/>
      <w:marTop w:val="0"/>
      <w:marBottom w:val="0"/>
      <w:divBdr>
        <w:top w:val="none" w:sz="0" w:space="0" w:color="auto"/>
        <w:left w:val="none" w:sz="0" w:space="0" w:color="auto"/>
        <w:bottom w:val="none" w:sz="0" w:space="0" w:color="auto"/>
        <w:right w:val="none" w:sz="0" w:space="0" w:color="auto"/>
      </w:divBdr>
    </w:div>
    <w:div w:id="60254291">
      <w:bodyDiv w:val="1"/>
      <w:marLeft w:val="0"/>
      <w:marRight w:val="0"/>
      <w:marTop w:val="0"/>
      <w:marBottom w:val="0"/>
      <w:divBdr>
        <w:top w:val="none" w:sz="0" w:space="0" w:color="auto"/>
        <w:left w:val="none" w:sz="0" w:space="0" w:color="auto"/>
        <w:bottom w:val="none" w:sz="0" w:space="0" w:color="auto"/>
        <w:right w:val="none" w:sz="0" w:space="0" w:color="auto"/>
      </w:divBdr>
    </w:div>
    <w:div w:id="72360843">
      <w:bodyDiv w:val="1"/>
      <w:marLeft w:val="0"/>
      <w:marRight w:val="0"/>
      <w:marTop w:val="0"/>
      <w:marBottom w:val="0"/>
      <w:divBdr>
        <w:top w:val="none" w:sz="0" w:space="0" w:color="auto"/>
        <w:left w:val="none" w:sz="0" w:space="0" w:color="auto"/>
        <w:bottom w:val="none" w:sz="0" w:space="0" w:color="auto"/>
        <w:right w:val="none" w:sz="0" w:space="0" w:color="auto"/>
      </w:divBdr>
    </w:div>
    <w:div w:id="82264495">
      <w:bodyDiv w:val="1"/>
      <w:marLeft w:val="0"/>
      <w:marRight w:val="0"/>
      <w:marTop w:val="0"/>
      <w:marBottom w:val="0"/>
      <w:divBdr>
        <w:top w:val="none" w:sz="0" w:space="0" w:color="auto"/>
        <w:left w:val="none" w:sz="0" w:space="0" w:color="auto"/>
        <w:bottom w:val="none" w:sz="0" w:space="0" w:color="auto"/>
        <w:right w:val="none" w:sz="0" w:space="0" w:color="auto"/>
      </w:divBdr>
    </w:div>
    <w:div w:id="87508486">
      <w:bodyDiv w:val="1"/>
      <w:marLeft w:val="0"/>
      <w:marRight w:val="0"/>
      <w:marTop w:val="0"/>
      <w:marBottom w:val="0"/>
      <w:divBdr>
        <w:top w:val="none" w:sz="0" w:space="0" w:color="auto"/>
        <w:left w:val="none" w:sz="0" w:space="0" w:color="auto"/>
        <w:bottom w:val="none" w:sz="0" w:space="0" w:color="auto"/>
        <w:right w:val="none" w:sz="0" w:space="0" w:color="auto"/>
      </w:divBdr>
    </w:div>
    <w:div w:id="102265233">
      <w:bodyDiv w:val="1"/>
      <w:marLeft w:val="0"/>
      <w:marRight w:val="0"/>
      <w:marTop w:val="0"/>
      <w:marBottom w:val="0"/>
      <w:divBdr>
        <w:top w:val="none" w:sz="0" w:space="0" w:color="auto"/>
        <w:left w:val="none" w:sz="0" w:space="0" w:color="auto"/>
        <w:bottom w:val="none" w:sz="0" w:space="0" w:color="auto"/>
        <w:right w:val="none" w:sz="0" w:space="0" w:color="auto"/>
      </w:divBdr>
    </w:div>
    <w:div w:id="119614859">
      <w:bodyDiv w:val="1"/>
      <w:marLeft w:val="0"/>
      <w:marRight w:val="0"/>
      <w:marTop w:val="0"/>
      <w:marBottom w:val="0"/>
      <w:divBdr>
        <w:top w:val="none" w:sz="0" w:space="0" w:color="auto"/>
        <w:left w:val="none" w:sz="0" w:space="0" w:color="auto"/>
        <w:bottom w:val="none" w:sz="0" w:space="0" w:color="auto"/>
        <w:right w:val="none" w:sz="0" w:space="0" w:color="auto"/>
      </w:divBdr>
    </w:div>
    <w:div w:id="121461330">
      <w:bodyDiv w:val="1"/>
      <w:marLeft w:val="0"/>
      <w:marRight w:val="0"/>
      <w:marTop w:val="0"/>
      <w:marBottom w:val="0"/>
      <w:divBdr>
        <w:top w:val="none" w:sz="0" w:space="0" w:color="auto"/>
        <w:left w:val="none" w:sz="0" w:space="0" w:color="auto"/>
        <w:bottom w:val="none" w:sz="0" w:space="0" w:color="auto"/>
        <w:right w:val="none" w:sz="0" w:space="0" w:color="auto"/>
      </w:divBdr>
    </w:div>
    <w:div w:id="128591735">
      <w:bodyDiv w:val="1"/>
      <w:marLeft w:val="0"/>
      <w:marRight w:val="0"/>
      <w:marTop w:val="0"/>
      <w:marBottom w:val="0"/>
      <w:divBdr>
        <w:top w:val="none" w:sz="0" w:space="0" w:color="auto"/>
        <w:left w:val="none" w:sz="0" w:space="0" w:color="auto"/>
        <w:bottom w:val="none" w:sz="0" w:space="0" w:color="auto"/>
        <w:right w:val="none" w:sz="0" w:space="0" w:color="auto"/>
      </w:divBdr>
    </w:div>
    <w:div w:id="133566197">
      <w:bodyDiv w:val="1"/>
      <w:marLeft w:val="0"/>
      <w:marRight w:val="0"/>
      <w:marTop w:val="0"/>
      <w:marBottom w:val="0"/>
      <w:divBdr>
        <w:top w:val="none" w:sz="0" w:space="0" w:color="auto"/>
        <w:left w:val="none" w:sz="0" w:space="0" w:color="auto"/>
        <w:bottom w:val="none" w:sz="0" w:space="0" w:color="auto"/>
        <w:right w:val="none" w:sz="0" w:space="0" w:color="auto"/>
      </w:divBdr>
    </w:div>
    <w:div w:id="145783438">
      <w:bodyDiv w:val="1"/>
      <w:marLeft w:val="0"/>
      <w:marRight w:val="0"/>
      <w:marTop w:val="0"/>
      <w:marBottom w:val="0"/>
      <w:divBdr>
        <w:top w:val="none" w:sz="0" w:space="0" w:color="auto"/>
        <w:left w:val="none" w:sz="0" w:space="0" w:color="auto"/>
        <w:bottom w:val="none" w:sz="0" w:space="0" w:color="auto"/>
        <w:right w:val="none" w:sz="0" w:space="0" w:color="auto"/>
      </w:divBdr>
    </w:div>
    <w:div w:id="151069396">
      <w:bodyDiv w:val="1"/>
      <w:marLeft w:val="0"/>
      <w:marRight w:val="0"/>
      <w:marTop w:val="0"/>
      <w:marBottom w:val="0"/>
      <w:divBdr>
        <w:top w:val="none" w:sz="0" w:space="0" w:color="auto"/>
        <w:left w:val="none" w:sz="0" w:space="0" w:color="auto"/>
        <w:bottom w:val="none" w:sz="0" w:space="0" w:color="auto"/>
        <w:right w:val="none" w:sz="0" w:space="0" w:color="auto"/>
      </w:divBdr>
    </w:div>
    <w:div w:id="166333730">
      <w:bodyDiv w:val="1"/>
      <w:marLeft w:val="0"/>
      <w:marRight w:val="0"/>
      <w:marTop w:val="0"/>
      <w:marBottom w:val="0"/>
      <w:divBdr>
        <w:top w:val="none" w:sz="0" w:space="0" w:color="auto"/>
        <w:left w:val="none" w:sz="0" w:space="0" w:color="auto"/>
        <w:bottom w:val="none" w:sz="0" w:space="0" w:color="auto"/>
        <w:right w:val="none" w:sz="0" w:space="0" w:color="auto"/>
      </w:divBdr>
    </w:div>
    <w:div w:id="167641130">
      <w:bodyDiv w:val="1"/>
      <w:marLeft w:val="0"/>
      <w:marRight w:val="0"/>
      <w:marTop w:val="0"/>
      <w:marBottom w:val="0"/>
      <w:divBdr>
        <w:top w:val="none" w:sz="0" w:space="0" w:color="auto"/>
        <w:left w:val="none" w:sz="0" w:space="0" w:color="auto"/>
        <w:bottom w:val="none" w:sz="0" w:space="0" w:color="auto"/>
        <w:right w:val="none" w:sz="0" w:space="0" w:color="auto"/>
      </w:divBdr>
    </w:div>
    <w:div w:id="176235706">
      <w:bodyDiv w:val="1"/>
      <w:marLeft w:val="0"/>
      <w:marRight w:val="0"/>
      <w:marTop w:val="0"/>
      <w:marBottom w:val="0"/>
      <w:divBdr>
        <w:top w:val="none" w:sz="0" w:space="0" w:color="auto"/>
        <w:left w:val="none" w:sz="0" w:space="0" w:color="auto"/>
        <w:bottom w:val="none" w:sz="0" w:space="0" w:color="auto"/>
        <w:right w:val="none" w:sz="0" w:space="0" w:color="auto"/>
      </w:divBdr>
    </w:div>
    <w:div w:id="185094676">
      <w:bodyDiv w:val="1"/>
      <w:marLeft w:val="0"/>
      <w:marRight w:val="0"/>
      <w:marTop w:val="0"/>
      <w:marBottom w:val="0"/>
      <w:divBdr>
        <w:top w:val="none" w:sz="0" w:space="0" w:color="auto"/>
        <w:left w:val="none" w:sz="0" w:space="0" w:color="auto"/>
        <w:bottom w:val="none" w:sz="0" w:space="0" w:color="auto"/>
        <w:right w:val="none" w:sz="0" w:space="0" w:color="auto"/>
      </w:divBdr>
    </w:div>
    <w:div w:id="192692440">
      <w:bodyDiv w:val="1"/>
      <w:marLeft w:val="0"/>
      <w:marRight w:val="0"/>
      <w:marTop w:val="0"/>
      <w:marBottom w:val="0"/>
      <w:divBdr>
        <w:top w:val="none" w:sz="0" w:space="0" w:color="auto"/>
        <w:left w:val="none" w:sz="0" w:space="0" w:color="auto"/>
        <w:bottom w:val="none" w:sz="0" w:space="0" w:color="auto"/>
        <w:right w:val="none" w:sz="0" w:space="0" w:color="auto"/>
      </w:divBdr>
    </w:div>
    <w:div w:id="203179459">
      <w:bodyDiv w:val="1"/>
      <w:marLeft w:val="0"/>
      <w:marRight w:val="0"/>
      <w:marTop w:val="0"/>
      <w:marBottom w:val="0"/>
      <w:divBdr>
        <w:top w:val="none" w:sz="0" w:space="0" w:color="auto"/>
        <w:left w:val="none" w:sz="0" w:space="0" w:color="auto"/>
        <w:bottom w:val="none" w:sz="0" w:space="0" w:color="auto"/>
        <w:right w:val="none" w:sz="0" w:space="0" w:color="auto"/>
      </w:divBdr>
    </w:div>
    <w:div w:id="203300142">
      <w:bodyDiv w:val="1"/>
      <w:marLeft w:val="0"/>
      <w:marRight w:val="0"/>
      <w:marTop w:val="0"/>
      <w:marBottom w:val="0"/>
      <w:divBdr>
        <w:top w:val="none" w:sz="0" w:space="0" w:color="auto"/>
        <w:left w:val="none" w:sz="0" w:space="0" w:color="auto"/>
        <w:bottom w:val="none" w:sz="0" w:space="0" w:color="auto"/>
        <w:right w:val="none" w:sz="0" w:space="0" w:color="auto"/>
      </w:divBdr>
    </w:div>
    <w:div w:id="220488370">
      <w:bodyDiv w:val="1"/>
      <w:marLeft w:val="0"/>
      <w:marRight w:val="0"/>
      <w:marTop w:val="0"/>
      <w:marBottom w:val="0"/>
      <w:divBdr>
        <w:top w:val="none" w:sz="0" w:space="0" w:color="auto"/>
        <w:left w:val="none" w:sz="0" w:space="0" w:color="auto"/>
        <w:bottom w:val="none" w:sz="0" w:space="0" w:color="auto"/>
        <w:right w:val="none" w:sz="0" w:space="0" w:color="auto"/>
      </w:divBdr>
    </w:div>
    <w:div w:id="229853486">
      <w:bodyDiv w:val="1"/>
      <w:marLeft w:val="0"/>
      <w:marRight w:val="0"/>
      <w:marTop w:val="0"/>
      <w:marBottom w:val="0"/>
      <w:divBdr>
        <w:top w:val="none" w:sz="0" w:space="0" w:color="auto"/>
        <w:left w:val="none" w:sz="0" w:space="0" w:color="auto"/>
        <w:bottom w:val="none" w:sz="0" w:space="0" w:color="auto"/>
        <w:right w:val="none" w:sz="0" w:space="0" w:color="auto"/>
      </w:divBdr>
    </w:div>
    <w:div w:id="233514904">
      <w:bodyDiv w:val="1"/>
      <w:marLeft w:val="0"/>
      <w:marRight w:val="0"/>
      <w:marTop w:val="0"/>
      <w:marBottom w:val="0"/>
      <w:divBdr>
        <w:top w:val="none" w:sz="0" w:space="0" w:color="auto"/>
        <w:left w:val="none" w:sz="0" w:space="0" w:color="auto"/>
        <w:bottom w:val="none" w:sz="0" w:space="0" w:color="auto"/>
        <w:right w:val="none" w:sz="0" w:space="0" w:color="auto"/>
      </w:divBdr>
    </w:div>
    <w:div w:id="234442127">
      <w:bodyDiv w:val="1"/>
      <w:marLeft w:val="0"/>
      <w:marRight w:val="0"/>
      <w:marTop w:val="0"/>
      <w:marBottom w:val="0"/>
      <w:divBdr>
        <w:top w:val="none" w:sz="0" w:space="0" w:color="auto"/>
        <w:left w:val="none" w:sz="0" w:space="0" w:color="auto"/>
        <w:bottom w:val="none" w:sz="0" w:space="0" w:color="auto"/>
        <w:right w:val="none" w:sz="0" w:space="0" w:color="auto"/>
      </w:divBdr>
    </w:div>
    <w:div w:id="247807000">
      <w:bodyDiv w:val="1"/>
      <w:marLeft w:val="0"/>
      <w:marRight w:val="0"/>
      <w:marTop w:val="0"/>
      <w:marBottom w:val="0"/>
      <w:divBdr>
        <w:top w:val="none" w:sz="0" w:space="0" w:color="auto"/>
        <w:left w:val="none" w:sz="0" w:space="0" w:color="auto"/>
        <w:bottom w:val="none" w:sz="0" w:space="0" w:color="auto"/>
        <w:right w:val="none" w:sz="0" w:space="0" w:color="auto"/>
      </w:divBdr>
    </w:div>
    <w:div w:id="249779204">
      <w:bodyDiv w:val="1"/>
      <w:marLeft w:val="0"/>
      <w:marRight w:val="0"/>
      <w:marTop w:val="0"/>
      <w:marBottom w:val="0"/>
      <w:divBdr>
        <w:top w:val="none" w:sz="0" w:space="0" w:color="auto"/>
        <w:left w:val="none" w:sz="0" w:space="0" w:color="auto"/>
        <w:bottom w:val="none" w:sz="0" w:space="0" w:color="auto"/>
        <w:right w:val="none" w:sz="0" w:space="0" w:color="auto"/>
      </w:divBdr>
    </w:div>
    <w:div w:id="258374959">
      <w:bodyDiv w:val="1"/>
      <w:marLeft w:val="0"/>
      <w:marRight w:val="0"/>
      <w:marTop w:val="0"/>
      <w:marBottom w:val="0"/>
      <w:divBdr>
        <w:top w:val="none" w:sz="0" w:space="0" w:color="auto"/>
        <w:left w:val="none" w:sz="0" w:space="0" w:color="auto"/>
        <w:bottom w:val="none" w:sz="0" w:space="0" w:color="auto"/>
        <w:right w:val="none" w:sz="0" w:space="0" w:color="auto"/>
      </w:divBdr>
    </w:div>
    <w:div w:id="269902205">
      <w:bodyDiv w:val="1"/>
      <w:marLeft w:val="0"/>
      <w:marRight w:val="0"/>
      <w:marTop w:val="0"/>
      <w:marBottom w:val="0"/>
      <w:divBdr>
        <w:top w:val="none" w:sz="0" w:space="0" w:color="auto"/>
        <w:left w:val="none" w:sz="0" w:space="0" w:color="auto"/>
        <w:bottom w:val="none" w:sz="0" w:space="0" w:color="auto"/>
        <w:right w:val="none" w:sz="0" w:space="0" w:color="auto"/>
      </w:divBdr>
    </w:div>
    <w:div w:id="283384788">
      <w:bodyDiv w:val="1"/>
      <w:marLeft w:val="0"/>
      <w:marRight w:val="0"/>
      <w:marTop w:val="0"/>
      <w:marBottom w:val="0"/>
      <w:divBdr>
        <w:top w:val="none" w:sz="0" w:space="0" w:color="auto"/>
        <w:left w:val="none" w:sz="0" w:space="0" w:color="auto"/>
        <w:bottom w:val="none" w:sz="0" w:space="0" w:color="auto"/>
        <w:right w:val="none" w:sz="0" w:space="0" w:color="auto"/>
      </w:divBdr>
    </w:div>
    <w:div w:id="290483992">
      <w:bodyDiv w:val="1"/>
      <w:marLeft w:val="0"/>
      <w:marRight w:val="0"/>
      <w:marTop w:val="0"/>
      <w:marBottom w:val="0"/>
      <w:divBdr>
        <w:top w:val="none" w:sz="0" w:space="0" w:color="auto"/>
        <w:left w:val="none" w:sz="0" w:space="0" w:color="auto"/>
        <w:bottom w:val="none" w:sz="0" w:space="0" w:color="auto"/>
        <w:right w:val="none" w:sz="0" w:space="0" w:color="auto"/>
      </w:divBdr>
    </w:div>
    <w:div w:id="307975412">
      <w:bodyDiv w:val="1"/>
      <w:marLeft w:val="0"/>
      <w:marRight w:val="0"/>
      <w:marTop w:val="0"/>
      <w:marBottom w:val="0"/>
      <w:divBdr>
        <w:top w:val="none" w:sz="0" w:space="0" w:color="auto"/>
        <w:left w:val="none" w:sz="0" w:space="0" w:color="auto"/>
        <w:bottom w:val="none" w:sz="0" w:space="0" w:color="auto"/>
        <w:right w:val="none" w:sz="0" w:space="0" w:color="auto"/>
      </w:divBdr>
    </w:div>
    <w:div w:id="308441577">
      <w:bodyDiv w:val="1"/>
      <w:marLeft w:val="0"/>
      <w:marRight w:val="0"/>
      <w:marTop w:val="0"/>
      <w:marBottom w:val="0"/>
      <w:divBdr>
        <w:top w:val="none" w:sz="0" w:space="0" w:color="auto"/>
        <w:left w:val="none" w:sz="0" w:space="0" w:color="auto"/>
        <w:bottom w:val="none" w:sz="0" w:space="0" w:color="auto"/>
        <w:right w:val="none" w:sz="0" w:space="0" w:color="auto"/>
      </w:divBdr>
    </w:div>
    <w:div w:id="324863384">
      <w:bodyDiv w:val="1"/>
      <w:marLeft w:val="0"/>
      <w:marRight w:val="0"/>
      <w:marTop w:val="0"/>
      <w:marBottom w:val="0"/>
      <w:divBdr>
        <w:top w:val="none" w:sz="0" w:space="0" w:color="auto"/>
        <w:left w:val="none" w:sz="0" w:space="0" w:color="auto"/>
        <w:bottom w:val="none" w:sz="0" w:space="0" w:color="auto"/>
        <w:right w:val="none" w:sz="0" w:space="0" w:color="auto"/>
      </w:divBdr>
    </w:div>
    <w:div w:id="335228259">
      <w:bodyDiv w:val="1"/>
      <w:marLeft w:val="0"/>
      <w:marRight w:val="0"/>
      <w:marTop w:val="0"/>
      <w:marBottom w:val="0"/>
      <w:divBdr>
        <w:top w:val="none" w:sz="0" w:space="0" w:color="auto"/>
        <w:left w:val="none" w:sz="0" w:space="0" w:color="auto"/>
        <w:bottom w:val="none" w:sz="0" w:space="0" w:color="auto"/>
        <w:right w:val="none" w:sz="0" w:space="0" w:color="auto"/>
      </w:divBdr>
    </w:div>
    <w:div w:id="353923540">
      <w:bodyDiv w:val="1"/>
      <w:marLeft w:val="0"/>
      <w:marRight w:val="0"/>
      <w:marTop w:val="0"/>
      <w:marBottom w:val="0"/>
      <w:divBdr>
        <w:top w:val="none" w:sz="0" w:space="0" w:color="auto"/>
        <w:left w:val="none" w:sz="0" w:space="0" w:color="auto"/>
        <w:bottom w:val="none" w:sz="0" w:space="0" w:color="auto"/>
        <w:right w:val="none" w:sz="0" w:space="0" w:color="auto"/>
      </w:divBdr>
    </w:div>
    <w:div w:id="359748682">
      <w:bodyDiv w:val="1"/>
      <w:marLeft w:val="0"/>
      <w:marRight w:val="0"/>
      <w:marTop w:val="0"/>
      <w:marBottom w:val="0"/>
      <w:divBdr>
        <w:top w:val="none" w:sz="0" w:space="0" w:color="auto"/>
        <w:left w:val="none" w:sz="0" w:space="0" w:color="auto"/>
        <w:bottom w:val="none" w:sz="0" w:space="0" w:color="auto"/>
        <w:right w:val="none" w:sz="0" w:space="0" w:color="auto"/>
      </w:divBdr>
    </w:div>
    <w:div w:id="372539121">
      <w:bodyDiv w:val="1"/>
      <w:marLeft w:val="0"/>
      <w:marRight w:val="0"/>
      <w:marTop w:val="0"/>
      <w:marBottom w:val="0"/>
      <w:divBdr>
        <w:top w:val="none" w:sz="0" w:space="0" w:color="auto"/>
        <w:left w:val="none" w:sz="0" w:space="0" w:color="auto"/>
        <w:bottom w:val="none" w:sz="0" w:space="0" w:color="auto"/>
        <w:right w:val="none" w:sz="0" w:space="0" w:color="auto"/>
      </w:divBdr>
    </w:div>
    <w:div w:id="373579084">
      <w:bodyDiv w:val="1"/>
      <w:marLeft w:val="0"/>
      <w:marRight w:val="0"/>
      <w:marTop w:val="0"/>
      <w:marBottom w:val="0"/>
      <w:divBdr>
        <w:top w:val="none" w:sz="0" w:space="0" w:color="auto"/>
        <w:left w:val="none" w:sz="0" w:space="0" w:color="auto"/>
        <w:bottom w:val="none" w:sz="0" w:space="0" w:color="auto"/>
        <w:right w:val="none" w:sz="0" w:space="0" w:color="auto"/>
      </w:divBdr>
    </w:div>
    <w:div w:id="394355542">
      <w:bodyDiv w:val="1"/>
      <w:marLeft w:val="0"/>
      <w:marRight w:val="0"/>
      <w:marTop w:val="0"/>
      <w:marBottom w:val="0"/>
      <w:divBdr>
        <w:top w:val="none" w:sz="0" w:space="0" w:color="auto"/>
        <w:left w:val="none" w:sz="0" w:space="0" w:color="auto"/>
        <w:bottom w:val="none" w:sz="0" w:space="0" w:color="auto"/>
        <w:right w:val="none" w:sz="0" w:space="0" w:color="auto"/>
      </w:divBdr>
    </w:div>
    <w:div w:id="400761846">
      <w:bodyDiv w:val="1"/>
      <w:marLeft w:val="0"/>
      <w:marRight w:val="0"/>
      <w:marTop w:val="0"/>
      <w:marBottom w:val="0"/>
      <w:divBdr>
        <w:top w:val="none" w:sz="0" w:space="0" w:color="auto"/>
        <w:left w:val="none" w:sz="0" w:space="0" w:color="auto"/>
        <w:bottom w:val="none" w:sz="0" w:space="0" w:color="auto"/>
        <w:right w:val="none" w:sz="0" w:space="0" w:color="auto"/>
      </w:divBdr>
    </w:div>
    <w:div w:id="432435057">
      <w:bodyDiv w:val="1"/>
      <w:marLeft w:val="0"/>
      <w:marRight w:val="0"/>
      <w:marTop w:val="0"/>
      <w:marBottom w:val="0"/>
      <w:divBdr>
        <w:top w:val="none" w:sz="0" w:space="0" w:color="auto"/>
        <w:left w:val="none" w:sz="0" w:space="0" w:color="auto"/>
        <w:bottom w:val="none" w:sz="0" w:space="0" w:color="auto"/>
        <w:right w:val="none" w:sz="0" w:space="0" w:color="auto"/>
      </w:divBdr>
    </w:div>
    <w:div w:id="435055076">
      <w:bodyDiv w:val="1"/>
      <w:marLeft w:val="0"/>
      <w:marRight w:val="0"/>
      <w:marTop w:val="0"/>
      <w:marBottom w:val="0"/>
      <w:divBdr>
        <w:top w:val="none" w:sz="0" w:space="0" w:color="auto"/>
        <w:left w:val="none" w:sz="0" w:space="0" w:color="auto"/>
        <w:bottom w:val="none" w:sz="0" w:space="0" w:color="auto"/>
        <w:right w:val="none" w:sz="0" w:space="0" w:color="auto"/>
      </w:divBdr>
    </w:div>
    <w:div w:id="452752924">
      <w:bodyDiv w:val="1"/>
      <w:marLeft w:val="0"/>
      <w:marRight w:val="0"/>
      <w:marTop w:val="0"/>
      <w:marBottom w:val="0"/>
      <w:divBdr>
        <w:top w:val="none" w:sz="0" w:space="0" w:color="auto"/>
        <w:left w:val="none" w:sz="0" w:space="0" w:color="auto"/>
        <w:bottom w:val="none" w:sz="0" w:space="0" w:color="auto"/>
        <w:right w:val="none" w:sz="0" w:space="0" w:color="auto"/>
      </w:divBdr>
    </w:div>
    <w:div w:id="456530903">
      <w:bodyDiv w:val="1"/>
      <w:marLeft w:val="0"/>
      <w:marRight w:val="0"/>
      <w:marTop w:val="0"/>
      <w:marBottom w:val="0"/>
      <w:divBdr>
        <w:top w:val="none" w:sz="0" w:space="0" w:color="auto"/>
        <w:left w:val="none" w:sz="0" w:space="0" w:color="auto"/>
        <w:bottom w:val="none" w:sz="0" w:space="0" w:color="auto"/>
        <w:right w:val="none" w:sz="0" w:space="0" w:color="auto"/>
      </w:divBdr>
    </w:div>
    <w:div w:id="459610394">
      <w:bodyDiv w:val="1"/>
      <w:marLeft w:val="0"/>
      <w:marRight w:val="0"/>
      <w:marTop w:val="0"/>
      <w:marBottom w:val="0"/>
      <w:divBdr>
        <w:top w:val="none" w:sz="0" w:space="0" w:color="auto"/>
        <w:left w:val="none" w:sz="0" w:space="0" w:color="auto"/>
        <w:bottom w:val="none" w:sz="0" w:space="0" w:color="auto"/>
        <w:right w:val="none" w:sz="0" w:space="0" w:color="auto"/>
      </w:divBdr>
    </w:div>
    <w:div w:id="459688444">
      <w:bodyDiv w:val="1"/>
      <w:marLeft w:val="0"/>
      <w:marRight w:val="0"/>
      <w:marTop w:val="0"/>
      <w:marBottom w:val="0"/>
      <w:divBdr>
        <w:top w:val="none" w:sz="0" w:space="0" w:color="auto"/>
        <w:left w:val="none" w:sz="0" w:space="0" w:color="auto"/>
        <w:bottom w:val="none" w:sz="0" w:space="0" w:color="auto"/>
        <w:right w:val="none" w:sz="0" w:space="0" w:color="auto"/>
      </w:divBdr>
    </w:div>
    <w:div w:id="469057751">
      <w:bodyDiv w:val="1"/>
      <w:marLeft w:val="0"/>
      <w:marRight w:val="0"/>
      <w:marTop w:val="0"/>
      <w:marBottom w:val="0"/>
      <w:divBdr>
        <w:top w:val="none" w:sz="0" w:space="0" w:color="auto"/>
        <w:left w:val="none" w:sz="0" w:space="0" w:color="auto"/>
        <w:bottom w:val="none" w:sz="0" w:space="0" w:color="auto"/>
        <w:right w:val="none" w:sz="0" w:space="0" w:color="auto"/>
      </w:divBdr>
    </w:div>
    <w:div w:id="477037447">
      <w:bodyDiv w:val="1"/>
      <w:marLeft w:val="0"/>
      <w:marRight w:val="0"/>
      <w:marTop w:val="0"/>
      <w:marBottom w:val="0"/>
      <w:divBdr>
        <w:top w:val="none" w:sz="0" w:space="0" w:color="auto"/>
        <w:left w:val="none" w:sz="0" w:space="0" w:color="auto"/>
        <w:bottom w:val="none" w:sz="0" w:space="0" w:color="auto"/>
        <w:right w:val="none" w:sz="0" w:space="0" w:color="auto"/>
      </w:divBdr>
    </w:div>
    <w:div w:id="486093695">
      <w:bodyDiv w:val="1"/>
      <w:marLeft w:val="0"/>
      <w:marRight w:val="0"/>
      <w:marTop w:val="0"/>
      <w:marBottom w:val="0"/>
      <w:divBdr>
        <w:top w:val="none" w:sz="0" w:space="0" w:color="auto"/>
        <w:left w:val="none" w:sz="0" w:space="0" w:color="auto"/>
        <w:bottom w:val="none" w:sz="0" w:space="0" w:color="auto"/>
        <w:right w:val="none" w:sz="0" w:space="0" w:color="auto"/>
      </w:divBdr>
    </w:div>
    <w:div w:id="491216926">
      <w:bodyDiv w:val="1"/>
      <w:marLeft w:val="0"/>
      <w:marRight w:val="0"/>
      <w:marTop w:val="0"/>
      <w:marBottom w:val="0"/>
      <w:divBdr>
        <w:top w:val="none" w:sz="0" w:space="0" w:color="auto"/>
        <w:left w:val="none" w:sz="0" w:space="0" w:color="auto"/>
        <w:bottom w:val="none" w:sz="0" w:space="0" w:color="auto"/>
        <w:right w:val="none" w:sz="0" w:space="0" w:color="auto"/>
      </w:divBdr>
    </w:div>
    <w:div w:id="492374843">
      <w:bodyDiv w:val="1"/>
      <w:marLeft w:val="0"/>
      <w:marRight w:val="0"/>
      <w:marTop w:val="0"/>
      <w:marBottom w:val="0"/>
      <w:divBdr>
        <w:top w:val="none" w:sz="0" w:space="0" w:color="auto"/>
        <w:left w:val="none" w:sz="0" w:space="0" w:color="auto"/>
        <w:bottom w:val="none" w:sz="0" w:space="0" w:color="auto"/>
        <w:right w:val="none" w:sz="0" w:space="0" w:color="auto"/>
      </w:divBdr>
    </w:div>
    <w:div w:id="513540786">
      <w:bodyDiv w:val="1"/>
      <w:marLeft w:val="0"/>
      <w:marRight w:val="0"/>
      <w:marTop w:val="0"/>
      <w:marBottom w:val="0"/>
      <w:divBdr>
        <w:top w:val="none" w:sz="0" w:space="0" w:color="auto"/>
        <w:left w:val="none" w:sz="0" w:space="0" w:color="auto"/>
        <w:bottom w:val="none" w:sz="0" w:space="0" w:color="auto"/>
        <w:right w:val="none" w:sz="0" w:space="0" w:color="auto"/>
      </w:divBdr>
    </w:div>
    <w:div w:id="516507086">
      <w:bodyDiv w:val="1"/>
      <w:marLeft w:val="0"/>
      <w:marRight w:val="0"/>
      <w:marTop w:val="0"/>
      <w:marBottom w:val="0"/>
      <w:divBdr>
        <w:top w:val="none" w:sz="0" w:space="0" w:color="auto"/>
        <w:left w:val="none" w:sz="0" w:space="0" w:color="auto"/>
        <w:bottom w:val="none" w:sz="0" w:space="0" w:color="auto"/>
        <w:right w:val="none" w:sz="0" w:space="0" w:color="auto"/>
      </w:divBdr>
    </w:div>
    <w:div w:id="526867012">
      <w:bodyDiv w:val="1"/>
      <w:marLeft w:val="0"/>
      <w:marRight w:val="0"/>
      <w:marTop w:val="0"/>
      <w:marBottom w:val="0"/>
      <w:divBdr>
        <w:top w:val="none" w:sz="0" w:space="0" w:color="auto"/>
        <w:left w:val="none" w:sz="0" w:space="0" w:color="auto"/>
        <w:bottom w:val="none" w:sz="0" w:space="0" w:color="auto"/>
        <w:right w:val="none" w:sz="0" w:space="0" w:color="auto"/>
      </w:divBdr>
    </w:div>
    <w:div w:id="534776398">
      <w:bodyDiv w:val="1"/>
      <w:marLeft w:val="0"/>
      <w:marRight w:val="0"/>
      <w:marTop w:val="0"/>
      <w:marBottom w:val="0"/>
      <w:divBdr>
        <w:top w:val="none" w:sz="0" w:space="0" w:color="auto"/>
        <w:left w:val="none" w:sz="0" w:space="0" w:color="auto"/>
        <w:bottom w:val="none" w:sz="0" w:space="0" w:color="auto"/>
        <w:right w:val="none" w:sz="0" w:space="0" w:color="auto"/>
      </w:divBdr>
    </w:div>
    <w:div w:id="546994950">
      <w:bodyDiv w:val="1"/>
      <w:marLeft w:val="0"/>
      <w:marRight w:val="0"/>
      <w:marTop w:val="0"/>
      <w:marBottom w:val="0"/>
      <w:divBdr>
        <w:top w:val="none" w:sz="0" w:space="0" w:color="auto"/>
        <w:left w:val="none" w:sz="0" w:space="0" w:color="auto"/>
        <w:bottom w:val="none" w:sz="0" w:space="0" w:color="auto"/>
        <w:right w:val="none" w:sz="0" w:space="0" w:color="auto"/>
      </w:divBdr>
    </w:div>
    <w:div w:id="553584480">
      <w:bodyDiv w:val="1"/>
      <w:marLeft w:val="0"/>
      <w:marRight w:val="0"/>
      <w:marTop w:val="0"/>
      <w:marBottom w:val="0"/>
      <w:divBdr>
        <w:top w:val="none" w:sz="0" w:space="0" w:color="auto"/>
        <w:left w:val="none" w:sz="0" w:space="0" w:color="auto"/>
        <w:bottom w:val="none" w:sz="0" w:space="0" w:color="auto"/>
        <w:right w:val="none" w:sz="0" w:space="0" w:color="auto"/>
      </w:divBdr>
    </w:div>
    <w:div w:id="566451843">
      <w:bodyDiv w:val="1"/>
      <w:marLeft w:val="0"/>
      <w:marRight w:val="0"/>
      <w:marTop w:val="0"/>
      <w:marBottom w:val="0"/>
      <w:divBdr>
        <w:top w:val="none" w:sz="0" w:space="0" w:color="auto"/>
        <w:left w:val="none" w:sz="0" w:space="0" w:color="auto"/>
        <w:bottom w:val="none" w:sz="0" w:space="0" w:color="auto"/>
        <w:right w:val="none" w:sz="0" w:space="0" w:color="auto"/>
      </w:divBdr>
    </w:div>
    <w:div w:id="577248592">
      <w:bodyDiv w:val="1"/>
      <w:marLeft w:val="0"/>
      <w:marRight w:val="0"/>
      <w:marTop w:val="0"/>
      <w:marBottom w:val="0"/>
      <w:divBdr>
        <w:top w:val="none" w:sz="0" w:space="0" w:color="auto"/>
        <w:left w:val="none" w:sz="0" w:space="0" w:color="auto"/>
        <w:bottom w:val="none" w:sz="0" w:space="0" w:color="auto"/>
        <w:right w:val="none" w:sz="0" w:space="0" w:color="auto"/>
      </w:divBdr>
    </w:div>
    <w:div w:id="577518545">
      <w:bodyDiv w:val="1"/>
      <w:marLeft w:val="0"/>
      <w:marRight w:val="0"/>
      <w:marTop w:val="0"/>
      <w:marBottom w:val="0"/>
      <w:divBdr>
        <w:top w:val="none" w:sz="0" w:space="0" w:color="auto"/>
        <w:left w:val="none" w:sz="0" w:space="0" w:color="auto"/>
        <w:bottom w:val="none" w:sz="0" w:space="0" w:color="auto"/>
        <w:right w:val="none" w:sz="0" w:space="0" w:color="auto"/>
      </w:divBdr>
    </w:div>
    <w:div w:id="619654665">
      <w:bodyDiv w:val="1"/>
      <w:marLeft w:val="0"/>
      <w:marRight w:val="0"/>
      <w:marTop w:val="0"/>
      <w:marBottom w:val="0"/>
      <w:divBdr>
        <w:top w:val="none" w:sz="0" w:space="0" w:color="auto"/>
        <w:left w:val="none" w:sz="0" w:space="0" w:color="auto"/>
        <w:bottom w:val="none" w:sz="0" w:space="0" w:color="auto"/>
        <w:right w:val="none" w:sz="0" w:space="0" w:color="auto"/>
      </w:divBdr>
    </w:div>
    <w:div w:id="630357162">
      <w:bodyDiv w:val="1"/>
      <w:marLeft w:val="0"/>
      <w:marRight w:val="0"/>
      <w:marTop w:val="0"/>
      <w:marBottom w:val="0"/>
      <w:divBdr>
        <w:top w:val="none" w:sz="0" w:space="0" w:color="auto"/>
        <w:left w:val="none" w:sz="0" w:space="0" w:color="auto"/>
        <w:bottom w:val="none" w:sz="0" w:space="0" w:color="auto"/>
        <w:right w:val="none" w:sz="0" w:space="0" w:color="auto"/>
      </w:divBdr>
    </w:div>
    <w:div w:id="631450263">
      <w:bodyDiv w:val="1"/>
      <w:marLeft w:val="0"/>
      <w:marRight w:val="0"/>
      <w:marTop w:val="0"/>
      <w:marBottom w:val="0"/>
      <w:divBdr>
        <w:top w:val="none" w:sz="0" w:space="0" w:color="auto"/>
        <w:left w:val="none" w:sz="0" w:space="0" w:color="auto"/>
        <w:bottom w:val="none" w:sz="0" w:space="0" w:color="auto"/>
        <w:right w:val="none" w:sz="0" w:space="0" w:color="auto"/>
      </w:divBdr>
    </w:div>
    <w:div w:id="637958830">
      <w:bodyDiv w:val="1"/>
      <w:marLeft w:val="0"/>
      <w:marRight w:val="0"/>
      <w:marTop w:val="0"/>
      <w:marBottom w:val="0"/>
      <w:divBdr>
        <w:top w:val="none" w:sz="0" w:space="0" w:color="auto"/>
        <w:left w:val="none" w:sz="0" w:space="0" w:color="auto"/>
        <w:bottom w:val="none" w:sz="0" w:space="0" w:color="auto"/>
        <w:right w:val="none" w:sz="0" w:space="0" w:color="auto"/>
      </w:divBdr>
    </w:div>
    <w:div w:id="660080252">
      <w:bodyDiv w:val="1"/>
      <w:marLeft w:val="0"/>
      <w:marRight w:val="0"/>
      <w:marTop w:val="0"/>
      <w:marBottom w:val="0"/>
      <w:divBdr>
        <w:top w:val="none" w:sz="0" w:space="0" w:color="auto"/>
        <w:left w:val="none" w:sz="0" w:space="0" w:color="auto"/>
        <w:bottom w:val="none" w:sz="0" w:space="0" w:color="auto"/>
        <w:right w:val="none" w:sz="0" w:space="0" w:color="auto"/>
      </w:divBdr>
    </w:div>
    <w:div w:id="664821068">
      <w:bodyDiv w:val="1"/>
      <w:marLeft w:val="0"/>
      <w:marRight w:val="0"/>
      <w:marTop w:val="0"/>
      <w:marBottom w:val="0"/>
      <w:divBdr>
        <w:top w:val="none" w:sz="0" w:space="0" w:color="auto"/>
        <w:left w:val="none" w:sz="0" w:space="0" w:color="auto"/>
        <w:bottom w:val="none" w:sz="0" w:space="0" w:color="auto"/>
        <w:right w:val="none" w:sz="0" w:space="0" w:color="auto"/>
      </w:divBdr>
    </w:div>
    <w:div w:id="680275148">
      <w:bodyDiv w:val="1"/>
      <w:marLeft w:val="0"/>
      <w:marRight w:val="0"/>
      <w:marTop w:val="0"/>
      <w:marBottom w:val="0"/>
      <w:divBdr>
        <w:top w:val="none" w:sz="0" w:space="0" w:color="auto"/>
        <w:left w:val="none" w:sz="0" w:space="0" w:color="auto"/>
        <w:bottom w:val="none" w:sz="0" w:space="0" w:color="auto"/>
        <w:right w:val="none" w:sz="0" w:space="0" w:color="auto"/>
      </w:divBdr>
    </w:div>
    <w:div w:id="681250358">
      <w:bodyDiv w:val="1"/>
      <w:marLeft w:val="0"/>
      <w:marRight w:val="0"/>
      <w:marTop w:val="0"/>
      <w:marBottom w:val="0"/>
      <w:divBdr>
        <w:top w:val="none" w:sz="0" w:space="0" w:color="auto"/>
        <w:left w:val="none" w:sz="0" w:space="0" w:color="auto"/>
        <w:bottom w:val="none" w:sz="0" w:space="0" w:color="auto"/>
        <w:right w:val="none" w:sz="0" w:space="0" w:color="auto"/>
      </w:divBdr>
    </w:div>
    <w:div w:id="684215549">
      <w:bodyDiv w:val="1"/>
      <w:marLeft w:val="0"/>
      <w:marRight w:val="0"/>
      <w:marTop w:val="0"/>
      <w:marBottom w:val="0"/>
      <w:divBdr>
        <w:top w:val="none" w:sz="0" w:space="0" w:color="auto"/>
        <w:left w:val="none" w:sz="0" w:space="0" w:color="auto"/>
        <w:bottom w:val="none" w:sz="0" w:space="0" w:color="auto"/>
        <w:right w:val="none" w:sz="0" w:space="0" w:color="auto"/>
      </w:divBdr>
    </w:div>
    <w:div w:id="710156997">
      <w:bodyDiv w:val="1"/>
      <w:marLeft w:val="0"/>
      <w:marRight w:val="0"/>
      <w:marTop w:val="0"/>
      <w:marBottom w:val="0"/>
      <w:divBdr>
        <w:top w:val="none" w:sz="0" w:space="0" w:color="auto"/>
        <w:left w:val="none" w:sz="0" w:space="0" w:color="auto"/>
        <w:bottom w:val="none" w:sz="0" w:space="0" w:color="auto"/>
        <w:right w:val="none" w:sz="0" w:space="0" w:color="auto"/>
      </w:divBdr>
    </w:div>
    <w:div w:id="710417605">
      <w:bodyDiv w:val="1"/>
      <w:marLeft w:val="0"/>
      <w:marRight w:val="0"/>
      <w:marTop w:val="0"/>
      <w:marBottom w:val="0"/>
      <w:divBdr>
        <w:top w:val="none" w:sz="0" w:space="0" w:color="auto"/>
        <w:left w:val="none" w:sz="0" w:space="0" w:color="auto"/>
        <w:bottom w:val="none" w:sz="0" w:space="0" w:color="auto"/>
        <w:right w:val="none" w:sz="0" w:space="0" w:color="auto"/>
      </w:divBdr>
    </w:div>
    <w:div w:id="711423016">
      <w:bodyDiv w:val="1"/>
      <w:marLeft w:val="0"/>
      <w:marRight w:val="0"/>
      <w:marTop w:val="0"/>
      <w:marBottom w:val="0"/>
      <w:divBdr>
        <w:top w:val="none" w:sz="0" w:space="0" w:color="auto"/>
        <w:left w:val="none" w:sz="0" w:space="0" w:color="auto"/>
        <w:bottom w:val="none" w:sz="0" w:space="0" w:color="auto"/>
        <w:right w:val="none" w:sz="0" w:space="0" w:color="auto"/>
      </w:divBdr>
    </w:div>
    <w:div w:id="718363463">
      <w:bodyDiv w:val="1"/>
      <w:marLeft w:val="0"/>
      <w:marRight w:val="0"/>
      <w:marTop w:val="0"/>
      <w:marBottom w:val="0"/>
      <w:divBdr>
        <w:top w:val="none" w:sz="0" w:space="0" w:color="auto"/>
        <w:left w:val="none" w:sz="0" w:space="0" w:color="auto"/>
        <w:bottom w:val="none" w:sz="0" w:space="0" w:color="auto"/>
        <w:right w:val="none" w:sz="0" w:space="0" w:color="auto"/>
      </w:divBdr>
    </w:div>
    <w:div w:id="755253317">
      <w:bodyDiv w:val="1"/>
      <w:marLeft w:val="0"/>
      <w:marRight w:val="0"/>
      <w:marTop w:val="0"/>
      <w:marBottom w:val="0"/>
      <w:divBdr>
        <w:top w:val="none" w:sz="0" w:space="0" w:color="auto"/>
        <w:left w:val="none" w:sz="0" w:space="0" w:color="auto"/>
        <w:bottom w:val="none" w:sz="0" w:space="0" w:color="auto"/>
        <w:right w:val="none" w:sz="0" w:space="0" w:color="auto"/>
      </w:divBdr>
    </w:div>
    <w:div w:id="760219116">
      <w:bodyDiv w:val="1"/>
      <w:marLeft w:val="0"/>
      <w:marRight w:val="0"/>
      <w:marTop w:val="0"/>
      <w:marBottom w:val="0"/>
      <w:divBdr>
        <w:top w:val="none" w:sz="0" w:space="0" w:color="auto"/>
        <w:left w:val="none" w:sz="0" w:space="0" w:color="auto"/>
        <w:bottom w:val="none" w:sz="0" w:space="0" w:color="auto"/>
        <w:right w:val="none" w:sz="0" w:space="0" w:color="auto"/>
      </w:divBdr>
    </w:div>
    <w:div w:id="771121433">
      <w:bodyDiv w:val="1"/>
      <w:marLeft w:val="0"/>
      <w:marRight w:val="0"/>
      <w:marTop w:val="0"/>
      <w:marBottom w:val="0"/>
      <w:divBdr>
        <w:top w:val="none" w:sz="0" w:space="0" w:color="auto"/>
        <w:left w:val="none" w:sz="0" w:space="0" w:color="auto"/>
        <w:bottom w:val="none" w:sz="0" w:space="0" w:color="auto"/>
        <w:right w:val="none" w:sz="0" w:space="0" w:color="auto"/>
      </w:divBdr>
    </w:div>
    <w:div w:id="813331781">
      <w:bodyDiv w:val="1"/>
      <w:marLeft w:val="0"/>
      <w:marRight w:val="0"/>
      <w:marTop w:val="0"/>
      <w:marBottom w:val="0"/>
      <w:divBdr>
        <w:top w:val="none" w:sz="0" w:space="0" w:color="auto"/>
        <w:left w:val="none" w:sz="0" w:space="0" w:color="auto"/>
        <w:bottom w:val="none" w:sz="0" w:space="0" w:color="auto"/>
        <w:right w:val="none" w:sz="0" w:space="0" w:color="auto"/>
      </w:divBdr>
    </w:div>
    <w:div w:id="830097294">
      <w:bodyDiv w:val="1"/>
      <w:marLeft w:val="0"/>
      <w:marRight w:val="0"/>
      <w:marTop w:val="0"/>
      <w:marBottom w:val="0"/>
      <w:divBdr>
        <w:top w:val="none" w:sz="0" w:space="0" w:color="auto"/>
        <w:left w:val="none" w:sz="0" w:space="0" w:color="auto"/>
        <w:bottom w:val="none" w:sz="0" w:space="0" w:color="auto"/>
        <w:right w:val="none" w:sz="0" w:space="0" w:color="auto"/>
      </w:divBdr>
    </w:div>
    <w:div w:id="849950953">
      <w:bodyDiv w:val="1"/>
      <w:marLeft w:val="0"/>
      <w:marRight w:val="0"/>
      <w:marTop w:val="0"/>
      <w:marBottom w:val="0"/>
      <w:divBdr>
        <w:top w:val="none" w:sz="0" w:space="0" w:color="auto"/>
        <w:left w:val="none" w:sz="0" w:space="0" w:color="auto"/>
        <w:bottom w:val="none" w:sz="0" w:space="0" w:color="auto"/>
        <w:right w:val="none" w:sz="0" w:space="0" w:color="auto"/>
      </w:divBdr>
    </w:div>
    <w:div w:id="860514135">
      <w:bodyDiv w:val="1"/>
      <w:marLeft w:val="0"/>
      <w:marRight w:val="0"/>
      <w:marTop w:val="0"/>
      <w:marBottom w:val="0"/>
      <w:divBdr>
        <w:top w:val="none" w:sz="0" w:space="0" w:color="auto"/>
        <w:left w:val="none" w:sz="0" w:space="0" w:color="auto"/>
        <w:bottom w:val="none" w:sz="0" w:space="0" w:color="auto"/>
        <w:right w:val="none" w:sz="0" w:space="0" w:color="auto"/>
      </w:divBdr>
    </w:div>
    <w:div w:id="887378659">
      <w:bodyDiv w:val="1"/>
      <w:marLeft w:val="0"/>
      <w:marRight w:val="0"/>
      <w:marTop w:val="0"/>
      <w:marBottom w:val="0"/>
      <w:divBdr>
        <w:top w:val="none" w:sz="0" w:space="0" w:color="auto"/>
        <w:left w:val="none" w:sz="0" w:space="0" w:color="auto"/>
        <w:bottom w:val="none" w:sz="0" w:space="0" w:color="auto"/>
        <w:right w:val="none" w:sz="0" w:space="0" w:color="auto"/>
      </w:divBdr>
    </w:div>
    <w:div w:id="909508631">
      <w:bodyDiv w:val="1"/>
      <w:marLeft w:val="0"/>
      <w:marRight w:val="0"/>
      <w:marTop w:val="0"/>
      <w:marBottom w:val="0"/>
      <w:divBdr>
        <w:top w:val="none" w:sz="0" w:space="0" w:color="auto"/>
        <w:left w:val="none" w:sz="0" w:space="0" w:color="auto"/>
        <w:bottom w:val="none" w:sz="0" w:space="0" w:color="auto"/>
        <w:right w:val="none" w:sz="0" w:space="0" w:color="auto"/>
      </w:divBdr>
    </w:div>
    <w:div w:id="915822169">
      <w:bodyDiv w:val="1"/>
      <w:marLeft w:val="0"/>
      <w:marRight w:val="0"/>
      <w:marTop w:val="0"/>
      <w:marBottom w:val="0"/>
      <w:divBdr>
        <w:top w:val="none" w:sz="0" w:space="0" w:color="auto"/>
        <w:left w:val="none" w:sz="0" w:space="0" w:color="auto"/>
        <w:bottom w:val="none" w:sz="0" w:space="0" w:color="auto"/>
        <w:right w:val="none" w:sz="0" w:space="0" w:color="auto"/>
      </w:divBdr>
    </w:div>
    <w:div w:id="918251204">
      <w:bodyDiv w:val="1"/>
      <w:marLeft w:val="0"/>
      <w:marRight w:val="0"/>
      <w:marTop w:val="0"/>
      <w:marBottom w:val="0"/>
      <w:divBdr>
        <w:top w:val="none" w:sz="0" w:space="0" w:color="auto"/>
        <w:left w:val="none" w:sz="0" w:space="0" w:color="auto"/>
        <w:bottom w:val="none" w:sz="0" w:space="0" w:color="auto"/>
        <w:right w:val="none" w:sz="0" w:space="0" w:color="auto"/>
      </w:divBdr>
    </w:div>
    <w:div w:id="935752338">
      <w:bodyDiv w:val="1"/>
      <w:marLeft w:val="0"/>
      <w:marRight w:val="0"/>
      <w:marTop w:val="0"/>
      <w:marBottom w:val="0"/>
      <w:divBdr>
        <w:top w:val="none" w:sz="0" w:space="0" w:color="auto"/>
        <w:left w:val="none" w:sz="0" w:space="0" w:color="auto"/>
        <w:bottom w:val="none" w:sz="0" w:space="0" w:color="auto"/>
        <w:right w:val="none" w:sz="0" w:space="0" w:color="auto"/>
      </w:divBdr>
    </w:div>
    <w:div w:id="944046118">
      <w:bodyDiv w:val="1"/>
      <w:marLeft w:val="0"/>
      <w:marRight w:val="0"/>
      <w:marTop w:val="0"/>
      <w:marBottom w:val="0"/>
      <w:divBdr>
        <w:top w:val="none" w:sz="0" w:space="0" w:color="auto"/>
        <w:left w:val="none" w:sz="0" w:space="0" w:color="auto"/>
        <w:bottom w:val="none" w:sz="0" w:space="0" w:color="auto"/>
        <w:right w:val="none" w:sz="0" w:space="0" w:color="auto"/>
      </w:divBdr>
    </w:div>
    <w:div w:id="954214611">
      <w:bodyDiv w:val="1"/>
      <w:marLeft w:val="0"/>
      <w:marRight w:val="0"/>
      <w:marTop w:val="0"/>
      <w:marBottom w:val="0"/>
      <w:divBdr>
        <w:top w:val="none" w:sz="0" w:space="0" w:color="auto"/>
        <w:left w:val="none" w:sz="0" w:space="0" w:color="auto"/>
        <w:bottom w:val="none" w:sz="0" w:space="0" w:color="auto"/>
        <w:right w:val="none" w:sz="0" w:space="0" w:color="auto"/>
      </w:divBdr>
    </w:div>
    <w:div w:id="959921149">
      <w:bodyDiv w:val="1"/>
      <w:marLeft w:val="0"/>
      <w:marRight w:val="0"/>
      <w:marTop w:val="0"/>
      <w:marBottom w:val="0"/>
      <w:divBdr>
        <w:top w:val="none" w:sz="0" w:space="0" w:color="auto"/>
        <w:left w:val="none" w:sz="0" w:space="0" w:color="auto"/>
        <w:bottom w:val="none" w:sz="0" w:space="0" w:color="auto"/>
        <w:right w:val="none" w:sz="0" w:space="0" w:color="auto"/>
      </w:divBdr>
    </w:div>
    <w:div w:id="978731950">
      <w:bodyDiv w:val="1"/>
      <w:marLeft w:val="0"/>
      <w:marRight w:val="0"/>
      <w:marTop w:val="0"/>
      <w:marBottom w:val="0"/>
      <w:divBdr>
        <w:top w:val="none" w:sz="0" w:space="0" w:color="auto"/>
        <w:left w:val="none" w:sz="0" w:space="0" w:color="auto"/>
        <w:bottom w:val="none" w:sz="0" w:space="0" w:color="auto"/>
        <w:right w:val="none" w:sz="0" w:space="0" w:color="auto"/>
      </w:divBdr>
    </w:div>
    <w:div w:id="991450382">
      <w:bodyDiv w:val="1"/>
      <w:marLeft w:val="0"/>
      <w:marRight w:val="0"/>
      <w:marTop w:val="0"/>
      <w:marBottom w:val="0"/>
      <w:divBdr>
        <w:top w:val="none" w:sz="0" w:space="0" w:color="auto"/>
        <w:left w:val="none" w:sz="0" w:space="0" w:color="auto"/>
        <w:bottom w:val="none" w:sz="0" w:space="0" w:color="auto"/>
        <w:right w:val="none" w:sz="0" w:space="0" w:color="auto"/>
      </w:divBdr>
    </w:div>
    <w:div w:id="994996120">
      <w:bodyDiv w:val="1"/>
      <w:marLeft w:val="0"/>
      <w:marRight w:val="0"/>
      <w:marTop w:val="0"/>
      <w:marBottom w:val="0"/>
      <w:divBdr>
        <w:top w:val="none" w:sz="0" w:space="0" w:color="auto"/>
        <w:left w:val="none" w:sz="0" w:space="0" w:color="auto"/>
        <w:bottom w:val="none" w:sz="0" w:space="0" w:color="auto"/>
        <w:right w:val="none" w:sz="0" w:space="0" w:color="auto"/>
      </w:divBdr>
    </w:div>
    <w:div w:id="1002125978">
      <w:bodyDiv w:val="1"/>
      <w:marLeft w:val="0"/>
      <w:marRight w:val="0"/>
      <w:marTop w:val="0"/>
      <w:marBottom w:val="0"/>
      <w:divBdr>
        <w:top w:val="none" w:sz="0" w:space="0" w:color="auto"/>
        <w:left w:val="none" w:sz="0" w:space="0" w:color="auto"/>
        <w:bottom w:val="none" w:sz="0" w:space="0" w:color="auto"/>
        <w:right w:val="none" w:sz="0" w:space="0" w:color="auto"/>
      </w:divBdr>
    </w:div>
    <w:div w:id="1006905074">
      <w:bodyDiv w:val="1"/>
      <w:marLeft w:val="0"/>
      <w:marRight w:val="0"/>
      <w:marTop w:val="0"/>
      <w:marBottom w:val="0"/>
      <w:divBdr>
        <w:top w:val="none" w:sz="0" w:space="0" w:color="auto"/>
        <w:left w:val="none" w:sz="0" w:space="0" w:color="auto"/>
        <w:bottom w:val="none" w:sz="0" w:space="0" w:color="auto"/>
        <w:right w:val="none" w:sz="0" w:space="0" w:color="auto"/>
      </w:divBdr>
    </w:div>
    <w:div w:id="1012687700">
      <w:bodyDiv w:val="1"/>
      <w:marLeft w:val="0"/>
      <w:marRight w:val="0"/>
      <w:marTop w:val="0"/>
      <w:marBottom w:val="0"/>
      <w:divBdr>
        <w:top w:val="none" w:sz="0" w:space="0" w:color="auto"/>
        <w:left w:val="none" w:sz="0" w:space="0" w:color="auto"/>
        <w:bottom w:val="none" w:sz="0" w:space="0" w:color="auto"/>
        <w:right w:val="none" w:sz="0" w:space="0" w:color="auto"/>
      </w:divBdr>
    </w:div>
    <w:div w:id="1028874284">
      <w:bodyDiv w:val="1"/>
      <w:marLeft w:val="0"/>
      <w:marRight w:val="0"/>
      <w:marTop w:val="0"/>
      <w:marBottom w:val="0"/>
      <w:divBdr>
        <w:top w:val="none" w:sz="0" w:space="0" w:color="auto"/>
        <w:left w:val="none" w:sz="0" w:space="0" w:color="auto"/>
        <w:bottom w:val="none" w:sz="0" w:space="0" w:color="auto"/>
        <w:right w:val="none" w:sz="0" w:space="0" w:color="auto"/>
      </w:divBdr>
    </w:div>
    <w:div w:id="1045907392">
      <w:bodyDiv w:val="1"/>
      <w:marLeft w:val="0"/>
      <w:marRight w:val="0"/>
      <w:marTop w:val="0"/>
      <w:marBottom w:val="0"/>
      <w:divBdr>
        <w:top w:val="none" w:sz="0" w:space="0" w:color="auto"/>
        <w:left w:val="none" w:sz="0" w:space="0" w:color="auto"/>
        <w:bottom w:val="none" w:sz="0" w:space="0" w:color="auto"/>
        <w:right w:val="none" w:sz="0" w:space="0" w:color="auto"/>
      </w:divBdr>
    </w:div>
    <w:div w:id="1053118345">
      <w:bodyDiv w:val="1"/>
      <w:marLeft w:val="0"/>
      <w:marRight w:val="0"/>
      <w:marTop w:val="0"/>
      <w:marBottom w:val="0"/>
      <w:divBdr>
        <w:top w:val="none" w:sz="0" w:space="0" w:color="auto"/>
        <w:left w:val="none" w:sz="0" w:space="0" w:color="auto"/>
        <w:bottom w:val="none" w:sz="0" w:space="0" w:color="auto"/>
        <w:right w:val="none" w:sz="0" w:space="0" w:color="auto"/>
      </w:divBdr>
    </w:div>
    <w:div w:id="1057318039">
      <w:bodyDiv w:val="1"/>
      <w:marLeft w:val="0"/>
      <w:marRight w:val="0"/>
      <w:marTop w:val="0"/>
      <w:marBottom w:val="0"/>
      <w:divBdr>
        <w:top w:val="none" w:sz="0" w:space="0" w:color="auto"/>
        <w:left w:val="none" w:sz="0" w:space="0" w:color="auto"/>
        <w:bottom w:val="none" w:sz="0" w:space="0" w:color="auto"/>
        <w:right w:val="none" w:sz="0" w:space="0" w:color="auto"/>
      </w:divBdr>
    </w:div>
    <w:div w:id="1069767072">
      <w:bodyDiv w:val="1"/>
      <w:marLeft w:val="0"/>
      <w:marRight w:val="0"/>
      <w:marTop w:val="0"/>
      <w:marBottom w:val="0"/>
      <w:divBdr>
        <w:top w:val="none" w:sz="0" w:space="0" w:color="auto"/>
        <w:left w:val="none" w:sz="0" w:space="0" w:color="auto"/>
        <w:bottom w:val="none" w:sz="0" w:space="0" w:color="auto"/>
        <w:right w:val="none" w:sz="0" w:space="0" w:color="auto"/>
      </w:divBdr>
    </w:div>
    <w:div w:id="1117793690">
      <w:bodyDiv w:val="1"/>
      <w:marLeft w:val="0"/>
      <w:marRight w:val="0"/>
      <w:marTop w:val="0"/>
      <w:marBottom w:val="0"/>
      <w:divBdr>
        <w:top w:val="none" w:sz="0" w:space="0" w:color="auto"/>
        <w:left w:val="none" w:sz="0" w:space="0" w:color="auto"/>
        <w:bottom w:val="none" w:sz="0" w:space="0" w:color="auto"/>
        <w:right w:val="none" w:sz="0" w:space="0" w:color="auto"/>
      </w:divBdr>
    </w:div>
    <w:div w:id="1123814976">
      <w:bodyDiv w:val="1"/>
      <w:marLeft w:val="0"/>
      <w:marRight w:val="0"/>
      <w:marTop w:val="0"/>
      <w:marBottom w:val="0"/>
      <w:divBdr>
        <w:top w:val="none" w:sz="0" w:space="0" w:color="auto"/>
        <w:left w:val="none" w:sz="0" w:space="0" w:color="auto"/>
        <w:bottom w:val="none" w:sz="0" w:space="0" w:color="auto"/>
        <w:right w:val="none" w:sz="0" w:space="0" w:color="auto"/>
      </w:divBdr>
    </w:div>
    <w:div w:id="1126653672">
      <w:bodyDiv w:val="1"/>
      <w:marLeft w:val="0"/>
      <w:marRight w:val="0"/>
      <w:marTop w:val="0"/>
      <w:marBottom w:val="0"/>
      <w:divBdr>
        <w:top w:val="none" w:sz="0" w:space="0" w:color="auto"/>
        <w:left w:val="none" w:sz="0" w:space="0" w:color="auto"/>
        <w:bottom w:val="none" w:sz="0" w:space="0" w:color="auto"/>
        <w:right w:val="none" w:sz="0" w:space="0" w:color="auto"/>
      </w:divBdr>
    </w:div>
    <w:div w:id="1133909727">
      <w:bodyDiv w:val="1"/>
      <w:marLeft w:val="0"/>
      <w:marRight w:val="0"/>
      <w:marTop w:val="0"/>
      <w:marBottom w:val="0"/>
      <w:divBdr>
        <w:top w:val="none" w:sz="0" w:space="0" w:color="auto"/>
        <w:left w:val="none" w:sz="0" w:space="0" w:color="auto"/>
        <w:bottom w:val="none" w:sz="0" w:space="0" w:color="auto"/>
        <w:right w:val="none" w:sz="0" w:space="0" w:color="auto"/>
      </w:divBdr>
    </w:div>
    <w:div w:id="1137796741">
      <w:bodyDiv w:val="1"/>
      <w:marLeft w:val="0"/>
      <w:marRight w:val="0"/>
      <w:marTop w:val="0"/>
      <w:marBottom w:val="0"/>
      <w:divBdr>
        <w:top w:val="none" w:sz="0" w:space="0" w:color="auto"/>
        <w:left w:val="none" w:sz="0" w:space="0" w:color="auto"/>
        <w:bottom w:val="none" w:sz="0" w:space="0" w:color="auto"/>
        <w:right w:val="none" w:sz="0" w:space="0" w:color="auto"/>
      </w:divBdr>
    </w:div>
    <w:div w:id="1141920641">
      <w:bodyDiv w:val="1"/>
      <w:marLeft w:val="0"/>
      <w:marRight w:val="0"/>
      <w:marTop w:val="0"/>
      <w:marBottom w:val="0"/>
      <w:divBdr>
        <w:top w:val="none" w:sz="0" w:space="0" w:color="auto"/>
        <w:left w:val="none" w:sz="0" w:space="0" w:color="auto"/>
        <w:bottom w:val="none" w:sz="0" w:space="0" w:color="auto"/>
        <w:right w:val="none" w:sz="0" w:space="0" w:color="auto"/>
      </w:divBdr>
    </w:div>
    <w:div w:id="1172716750">
      <w:bodyDiv w:val="1"/>
      <w:marLeft w:val="0"/>
      <w:marRight w:val="0"/>
      <w:marTop w:val="0"/>
      <w:marBottom w:val="0"/>
      <w:divBdr>
        <w:top w:val="none" w:sz="0" w:space="0" w:color="auto"/>
        <w:left w:val="none" w:sz="0" w:space="0" w:color="auto"/>
        <w:bottom w:val="none" w:sz="0" w:space="0" w:color="auto"/>
        <w:right w:val="none" w:sz="0" w:space="0" w:color="auto"/>
      </w:divBdr>
    </w:div>
    <w:div w:id="1182401150">
      <w:bodyDiv w:val="1"/>
      <w:marLeft w:val="0"/>
      <w:marRight w:val="0"/>
      <w:marTop w:val="0"/>
      <w:marBottom w:val="0"/>
      <w:divBdr>
        <w:top w:val="none" w:sz="0" w:space="0" w:color="auto"/>
        <w:left w:val="none" w:sz="0" w:space="0" w:color="auto"/>
        <w:bottom w:val="none" w:sz="0" w:space="0" w:color="auto"/>
        <w:right w:val="none" w:sz="0" w:space="0" w:color="auto"/>
      </w:divBdr>
    </w:div>
    <w:div w:id="1207983941">
      <w:bodyDiv w:val="1"/>
      <w:marLeft w:val="0"/>
      <w:marRight w:val="0"/>
      <w:marTop w:val="0"/>
      <w:marBottom w:val="0"/>
      <w:divBdr>
        <w:top w:val="none" w:sz="0" w:space="0" w:color="auto"/>
        <w:left w:val="none" w:sz="0" w:space="0" w:color="auto"/>
        <w:bottom w:val="none" w:sz="0" w:space="0" w:color="auto"/>
        <w:right w:val="none" w:sz="0" w:space="0" w:color="auto"/>
      </w:divBdr>
    </w:div>
    <w:div w:id="1211453574">
      <w:bodyDiv w:val="1"/>
      <w:marLeft w:val="0"/>
      <w:marRight w:val="0"/>
      <w:marTop w:val="0"/>
      <w:marBottom w:val="0"/>
      <w:divBdr>
        <w:top w:val="none" w:sz="0" w:space="0" w:color="auto"/>
        <w:left w:val="none" w:sz="0" w:space="0" w:color="auto"/>
        <w:bottom w:val="none" w:sz="0" w:space="0" w:color="auto"/>
        <w:right w:val="none" w:sz="0" w:space="0" w:color="auto"/>
      </w:divBdr>
    </w:div>
    <w:div w:id="1253195914">
      <w:bodyDiv w:val="1"/>
      <w:marLeft w:val="0"/>
      <w:marRight w:val="0"/>
      <w:marTop w:val="0"/>
      <w:marBottom w:val="0"/>
      <w:divBdr>
        <w:top w:val="none" w:sz="0" w:space="0" w:color="auto"/>
        <w:left w:val="none" w:sz="0" w:space="0" w:color="auto"/>
        <w:bottom w:val="none" w:sz="0" w:space="0" w:color="auto"/>
        <w:right w:val="none" w:sz="0" w:space="0" w:color="auto"/>
      </w:divBdr>
    </w:div>
    <w:div w:id="1260606463">
      <w:bodyDiv w:val="1"/>
      <w:marLeft w:val="0"/>
      <w:marRight w:val="0"/>
      <w:marTop w:val="0"/>
      <w:marBottom w:val="0"/>
      <w:divBdr>
        <w:top w:val="none" w:sz="0" w:space="0" w:color="auto"/>
        <w:left w:val="none" w:sz="0" w:space="0" w:color="auto"/>
        <w:bottom w:val="none" w:sz="0" w:space="0" w:color="auto"/>
        <w:right w:val="none" w:sz="0" w:space="0" w:color="auto"/>
      </w:divBdr>
    </w:div>
    <w:div w:id="1293637053">
      <w:bodyDiv w:val="1"/>
      <w:marLeft w:val="0"/>
      <w:marRight w:val="0"/>
      <w:marTop w:val="0"/>
      <w:marBottom w:val="0"/>
      <w:divBdr>
        <w:top w:val="none" w:sz="0" w:space="0" w:color="auto"/>
        <w:left w:val="none" w:sz="0" w:space="0" w:color="auto"/>
        <w:bottom w:val="none" w:sz="0" w:space="0" w:color="auto"/>
        <w:right w:val="none" w:sz="0" w:space="0" w:color="auto"/>
      </w:divBdr>
    </w:div>
    <w:div w:id="1294944748">
      <w:bodyDiv w:val="1"/>
      <w:marLeft w:val="0"/>
      <w:marRight w:val="0"/>
      <w:marTop w:val="0"/>
      <w:marBottom w:val="0"/>
      <w:divBdr>
        <w:top w:val="none" w:sz="0" w:space="0" w:color="auto"/>
        <w:left w:val="none" w:sz="0" w:space="0" w:color="auto"/>
        <w:bottom w:val="none" w:sz="0" w:space="0" w:color="auto"/>
        <w:right w:val="none" w:sz="0" w:space="0" w:color="auto"/>
      </w:divBdr>
    </w:div>
    <w:div w:id="1320386159">
      <w:bodyDiv w:val="1"/>
      <w:marLeft w:val="0"/>
      <w:marRight w:val="0"/>
      <w:marTop w:val="0"/>
      <w:marBottom w:val="0"/>
      <w:divBdr>
        <w:top w:val="none" w:sz="0" w:space="0" w:color="auto"/>
        <w:left w:val="none" w:sz="0" w:space="0" w:color="auto"/>
        <w:bottom w:val="none" w:sz="0" w:space="0" w:color="auto"/>
        <w:right w:val="none" w:sz="0" w:space="0" w:color="auto"/>
      </w:divBdr>
    </w:div>
    <w:div w:id="1323581389">
      <w:bodyDiv w:val="1"/>
      <w:marLeft w:val="0"/>
      <w:marRight w:val="0"/>
      <w:marTop w:val="0"/>
      <w:marBottom w:val="0"/>
      <w:divBdr>
        <w:top w:val="none" w:sz="0" w:space="0" w:color="auto"/>
        <w:left w:val="none" w:sz="0" w:space="0" w:color="auto"/>
        <w:bottom w:val="none" w:sz="0" w:space="0" w:color="auto"/>
        <w:right w:val="none" w:sz="0" w:space="0" w:color="auto"/>
      </w:divBdr>
    </w:div>
    <w:div w:id="1325013547">
      <w:bodyDiv w:val="1"/>
      <w:marLeft w:val="0"/>
      <w:marRight w:val="0"/>
      <w:marTop w:val="0"/>
      <w:marBottom w:val="0"/>
      <w:divBdr>
        <w:top w:val="none" w:sz="0" w:space="0" w:color="auto"/>
        <w:left w:val="none" w:sz="0" w:space="0" w:color="auto"/>
        <w:bottom w:val="none" w:sz="0" w:space="0" w:color="auto"/>
        <w:right w:val="none" w:sz="0" w:space="0" w:color="auto"/>
      </w:divBdr>
    </w:div>
    <w:div w:id="1327055926">
      <w:bodyDiv w:val="1"/>
      <w:marLeft w:val="0"/>
      <w:marRight w:val="0"/>
      <w:marTop w:val="0"/>
      <w:marBottom w:val="0"/>
      <w:divBdr>
        <w:top w:val="none" w:sz="0" w:space="0" w:color="auto"/>
        <w:left w:val="none" w:sz="0" w:space="0" w:color="auto"/>
        <w:bottom w:val="none" w:sz="0" w:space="0" w:color="auto"/>
        <w:right w:val="none" w:sz="0" w:space="0" w:color="auto"/>
      </w:divBdr>
    </w:div>
    <w:div w:id="1328749066">
      <w:bodyDiv w:val="1"/>
      <w:marLeft w:val="0"/>
      <w:marRight w:val="0"/>
      <w:marTop w:val="0"/>
      <w:marBottom w:val="0"/>
      <w:divBdr>
        <w:top w:val="none" w:sz="0" w:space="0" w:color="auto"/>
        <w:left w:val="none" w:sz="0" w:space="0" w:color="auto"/>
        <w:bottom w:val="none" w:sz="0" w:space="0" w:color="auto"/>
        <w:right w:val="none" w:sz="0" w:space="0" w:color="auto"/>
      </w:divBdr>
    </w:div>
    <w:div w:id="1329287163">
      <w:bodyDiv w:val="1"/>
      <w:marLeft w:val="0"/>
      <w:marRight w:val="0"/>
      <w:marTop w:val="0"/>
      <w:marBottom w:val="0"/>
      <w:divBdr>
        <w:top w:val="none" w:sz="0" w:space="0" w:color="auto"/>
        <w:left w:val="none" w:sz="0" w:space="0" w:color="auto"/>
        <w:bottom w:val="none" w:sz="0" w:space="0" w:color="auto"/>
        <w:right w:val="none" w:sz="0" w:space="0" w:color="auto"/>
      </w:divBdr>
    </w:div>
    <w:div w:id="1334138260">
      <w:bodyDiv w:val="1"/>
      <w:marLeft w:val="0"/>
      <w:marRight w:val="0"/>
      <w:marTop w:val="0"/>
      <w:marBottom w:val="0"/>
      <w:divBdr>
        <w:top w:val="none" w:sz="0" w:space="0" w:color="auto"/>
        <w:left w:val="none" w:sz="0" w:space="0" w:color="auto"/>
        <w:bottom w:val="none" w:sz="0" w:space="0" w:color="auto"/>
        <w:right w:val="none" w:sz="0" w:space="0" w:color="auto"/>
      </w:divBdr>
    </w:div>
    <w:div w:id="1344629367">
      <w:bodyDiv w:val="1"/>
      <w:marLeft w:val="0"/>
      <w:marRight w:val="0"/>
      <w:marTop w:val="0"/>
      <w:marBottom w:val="0"/>
      <w:divBdr>
        <w:top w:val="none" w:sz="0" w:space="0" w:color="auto"/>
        <w:left w:val="none" w:sz="0" w:space="0" w:color="auto"/>
        <w:bottom w:val="none" w:sz="0" w:space="0" w:color="auto"/>
        <w:right w:val="none" w:sz="0" w:space="0" w:color="auto"/>
      </w:divBdr>
    </w:div>
    <w:div w:id="1348750899">
      <w:bodyDiv w:val="1"/>
      <w:marLeft w:val="0"/>
      <w:marRight w:val="0"/>
      <w:marTop w:val="0"/>
      <w:marBottom w:val="0"/>
      <w:divBdr>
        <w:top w:val="none" w:sz="0" w:space="0" w:color="auto"/>
        <w:left w:val="none" w:sz="0" w:space="0" w:color="auto"/>
        <w:bottom w:val="none" w:sz="0" w:space="0" w:color="auto"/>
        <w:right w:val="none" w:sz="0" w:space="0" w:color="auto"/>
      </w:divBdr>
    </w:div>
    <w:div w:id="1359969001">
      <w:bodyDiv w:val="1"/>
      <w:marLeft w:val="0"/>
      <w:marRight w:val="0"/>
      <w:marTop w:val="0"/>
      <w:marBottom w:val="0"/>
      <w:divBdr>
        <w:top w:val="none" w:sz="0" w:space="0" w:color="auto"/>
        <w:left w:val="none" w:sz="0" w:space="0" w:color="auto"/>
        <w:bottom w:val="none" w:sz="0" w:space="0" w:color="auto"/>
        <w:right w:val="none" w:sz="0" w:space="0" w:color="auto"/>
      </w:divBdr>
    </w:div>
    <w:div w:id="1367178276">
      <w:bodyDiv w:val="1"/>
      <w:marLeft w:val="0"/>
      <w:marRight w:val="0"/>
      <w:marTop w:val="0"/>
      <w:marBottom w:val="0"/>
      <w:divBdr>
        <w:top w:val="none" w:sz="0" w:space="0" w:color="auto"/>
        <w:left w:val="none" w:sz="0" w:space="0" w:color="auto"/>
        <w:bottom w:val="none" w:sz="0" w:space="0" w:color="auto"/>
        <w:right w:val="none" w:sz="0" w:space="0" w:color="auto"/>
      </w:divBdr>
    </w:div>
    <w:div w:id="1368600383">
      <w:bodyDiv w:val="1"/>
      <w:marLeft w:val="0"/>
      <w:marRight w:val="0"/>
      <w:marTop w:val="0"/>
      <w:marBottom w:val="0"/>
      <w:divBdr>
        <w:top w:val="none" w:sz="0" w:space="0" w:color="auto"/>
        <w:left w:val="none" w:sz="0" w:space="0" w:color="auto"/>
        <w:bottom w:val="none" w:sz="0" w:space="0" w:color="auto"/>
        <w:right w:val="none" w:sz="0" w:space="0" w:color="auto"/>
      </w:divBdr>
    </w:div>
    <w:div w:id="1371493135">
      <w:bodyDiv w:val="1"/>
      <w:marLeft w:val="0"/>
      <w:marRight w:val="0"/>
      <w:marTop w:val="0"/>
      <w:marBottom w:val="0"/>
      <w:divBdr>
        <w:top w:val="none" w:sz="0" w:space="0" w:color="auto"/>
        <w:left w:val="none" w:sz="0" w:space="0" w:color="auto"/>
        <w:bottom w:val="none" w:sz="0" w:space="0" w:color="auto"/>
        <w:right w:val="none" w:sz="0" w:space="0" w:color="auto"/>
      </w:divBdr>
    </w:div>
    <w:div w:id="1393776542">
      <w:bodyDiv w:val="1"/>
      <w:marLeft w:val="0"/>
      <w:marRight w:val="0"/>
      <w:marTop w:val="0"/>
      <w:marBottom w:val="0"/>
      <w:divBdr>
        <w:top w:val="none" w:sz="0" w:space="0" w:color="auto"/>
        <w:left w:val="none" w:sz="0" w:space="0" w:color="auto"/>
        <w:bottom w:val="none" w:sz="0" w:space="0" w:color="auto"/>
        <w:right w:val="none" w:sz="0" w:space="0" w:color="auto"/>
      </w:divBdr>
    </w:div>
    <w:div w:id="1397974198">
      <w:bodyDiv w:val="1"/>
      <w:marLeft w:val="0"/>
      <w:marRight w:val="0"/>
      <w:marTop w:val="0"/>
      <w:marBottom w:val="0"/>
      <w:divBdr>
        <w:top w:val="none" w:sz="0" w:space="0" w:color="auto"/>
        <w:left w:val="none" w:sz="0" w:space="0" w:color="auto"/>
        <w:bottom w:val="none" w:sz="0" w:space="0" w:color="auto"/>
        <w:right w:val="none" w:sz="0" w:space="0" w:color="auto"/>
      </w:divBdr>
    </w:div>
    <w:div w:id="1400128176">
      <w:bodyDiv w:val="1"/>
      <w:marLeft w:val="0"/>
      <w:marRight w:val="0"/>
      <w:marTop w:val="0"/>
      <w:marBottom w:val="0"/>
      <w:divBdr>
        <w:top w:val="none" w:sz="0" w:space="0" w:color="auto"/>
        <w:left w:val="none" w:sz="0" w:space="0" w:color="auto"/>
        <w:bottom w:val="none" w:sz="0" w:space="0" w:color="auto"/>
        <w:right w:val="none" w:sz="0" w:space="0" w:color="auto"/>
      </w:divBdr>
    </w:div>
    <w:div w:id="1401513250">
      <w:bodyDiv w:val="1"/>
      <w:marLeft w:val="0"/>
      <w:marRight w:val="0"/>
      <w:marTop w:val="0"/>
      <w:marBottom w:val="0"/>
      <w:divBdr>
        <w:top w:val="none" w:sz="0" w:space="0" w:color="auto"/>
        <w:left w:val="none" w:sz="0" w:space="0" w:color="auto"/>
        <w:bottom w:val="none" w:sz="0" w:space="0" w:color="auto"/>
        <w:right w:val="none" w:sz="0" w:space="0" w:color="auto"/>
      </w:divBdr>
    </w:div>
    <w:div w:id="1407073052">
      <w:bodyDiv w:val="1"/>
      <w:marLeft w:val="0"/>
      <w:marRight w:val="0"/>
      <w:marTop w:val="0"/>
      <w:marBottom w:val="0"/>
      <w:divBdr>
        <w:top w:val="none" w:sz="0" w:space="0" w:color="auto"/>
        <w:left w:val="none" w:sz="0" w:space="0" w:color="auto"/>
        <w:bottom w:val="none" w:sz="0" w:space="0" w:color="auto"/>
        <w:right w:val="none" w:sz="0" w:space="0" w:color="auto"/>
      </w:divBdr>
    </w:div>
    <w:div w:id="1411923824">
      <w:bodyDiv w:val="1"/>
      <w:marLeft w:val="0"/>
      <w:marRight w:val="0"/>
      <w:marTop w:val="0"/>
      <w:marBottom w:val="0"/>
      <w:divBdr>
        <w:top w:val="none" w:sz="0" w:space="0" w:color="auto"/>
        <w:left w:val="none" w:sz="0" w:space="0" w:color="auto"/>
        <w:bottom w:val="none" w:sz="0" w:space="0" w:color="auto"/>
        <w:right w:val="none" w:sz="0" w:space="0" w:color="auto"/>
      </w:divBdr>
    </w:div>
    <w:div w:id="1474836697">
      <w:bodyDiv w:val="1"/>
      <w:marLeft w:val="0"/>
      <w:marRight w:val="0"/>
      <w:marTop w:val="0"/>
      <w:marBottom w:val="0"/>
      <w:divBdr>
        <w:top w:val="none" w:sz="0" w:space="0" w:color="auto"/>
        <w:left w:val="none" w:sz="0" w:space="0" w:color="auto"/>
        <w:bottom w:val="none" w:sz="0" w:space="0" w:color="auto"/>
        <w:right w:val="none" w:sz="0" w:space="0" w:color="auto"/>
      </w:divBdr>
    </w:div>
    <w:div w:id="1479880257">
      <w:bodyDiv w:val="1"/>
      <w:marLeft w:val="0"/>
      <w:marRight w:val="0"/>
      <w:marTop w:val="0"/>
      <w:marBottom w:val="0"/>
      <w:divBdr>
        <w:top w:val="none" w:sz="0" w:space="0" w:color="auto"/>
        <w:left w:val="none" w:sz="0" w:space="0" w:color="auto"/>
        <w:bottom w:val="none" w:sz="0" w:space="0" w:color="auto"/>
        <w:right w:val="none" w:sz="0" w:space="0" w:color="auto"/>
      </w:divBdr>
    </w:div>
    <w:div w:id="1481114769">
      <w:bodyDiv w:val="1"/>
      <w:marLeft w:val="0"/>
      <w:marRight w:val="0"/>
      <w:marTop w:val="0"/>
      <w:marBottom w:val="0"/>
      <w:divBdr>
        <w:top w:val="none" w:sz="0" w:space="0" w:color="auto"/>
        <w:left w:val="none" w:sz="0" w:space="0" w:color="auto"/>
        <w:bottom w:val="none" w:sz="0" w:space="0" w:color="auto"/>
        <w:right w:val="none" w:sz="0" w:space="0" w:color="auto"/>
      </w:divBdr>
    </w:div>
    <w:div w:id="1498575227">
      <w:bodyDiv w:val="1"/>
      <w:marLeft w:val="0"/>
      <w:marRight w:val="0"/>
      <w:marTop w:val="0"/>
      <w:marBottom w:val="0"/>
      <w:divBdr>
        <w:top w:val="none" w:sz="0" w:space="0" w:color="auto"/>
        <w:left w:val="none" w:sz="0" w:space="0" w:color="auto"/>
        <w:bottom w:val="none" w:sz="0" w:space="0" w:color="auto"/>
        <w:right w:val="none" w:sz="0" w:space="0" w:color="auto"/>
      </w:divBdr>
    </w:div>
    <w:div w:id="1502576515">
      <w:bodyDiv w:val="1"/>
      <w:marLeft w:val="0"/>
      <w:marRight w:val="0"/>
      <w:marTop w:val="0"/>
      <w:marBottom w:val="0"/>
      <w:divBdr>
        <w:top w:val="none" w:sz="0" w:space="0" w:color="auto"/>
        <w:left w:val="none" w:sz="0" w:space="0" w:color="auto"/>
        <w:bottom w:val="none" w:sz="0" w:space="0" w:color="auto"/>
        <w:right w:val="none" w:sz="0" w:space="0" w:color="auto"/>
      </w:divBdr>
    </w:div>
    <w:div w:id="1520847252">
      <w:bodyDiv w:val="1"/>
      <w:marLeft w:val="0"/>
      <w:marRight w:val="0"/>
      <w:marTop w:val="0"/>
      <w:marBottom w:val="0"/>
      <w:divBdr>
        <w:top w:val="none" w:sz="0" w:space="0" w:color="auto"/>
        <w:left w:val="none" w:sz="0" w:space="0" w:color="auto"/>
        <w:bottom w:val="none" w:sz="0" w:space="0" w:color="auto"/>
        <w:right w:val="none" w:sz="0" w:space="0" w:color="auto"/>
      </w:divBdr>
    </w:div>
    <w:div w:id="1529487370">
      <w:bodyDiv w:val="1"/>
      <w:marLeft w:val="0"/>
      <w:marRight w:val="0"/>
      <w:marTop w:val="0"/>
      <w:marBottom w:val="0"/>
      <w:divBdr>
        <w:top w:val="none" w:sz="0" w:space="0" w:color="auto"/>
        <w:left w:val="none" w:sz="0" w:space="0" w:color="auto"/>
        <w:bottom w:val="none" w:sz="0" w:space="0" w:color="auto"/>
        <w:right w:val="none" w:sz="0" w:space="0" w:color="auto"/>
      </w:divBdr>
    </w:div>
    <w:div w:id="1529753716">
      <w:bodyDiv w:val="1"/>
      <w:marLeft w:val="0"/>
      <w:marRight w:val="0"/>
      <w:marTop w:val="0"/>
      <w:marBottom w:val="0"/>
      <w:divBdr>
        <w:top w:val="none" w:sz="0" w:space="0" w:color="auto"/>
        <w:left w:val="none" w:sz="0" w:space="0" w:color="auto"/>
        <w:bottom w:val="none" w:sz="0" w:space="0" w:color="auto"/>
        <w:right w:val="none" w:sz="0" w:space="0" w:color="auto"/>
      </w:divBdr>
    </w:div>
    <w:div w:id="1547525889">
      <w:bodyDiv w:val="1"/>
      <w:marLeft w:val="0"/>
      <w:marRight w:val="0"/>
      <w:marTop w:val="0"/>
      <w:marBottom w:val="0"/>
      <w:divBdr>
        <w:top w:val="none" w:sz="0" w:space="0" w:color="auto"/>
        <w:left w:val="none" w:sz="0" w:space="0" w:color="auto"/>
        <w:bottom w:val="none" w:sz="0" w:space="0" w:color="auto"/>
        <w:right w:val="none" w:sz="0" w:space="0" w:color="auto"/>
      </w:divBdr>
    </w:div>
    <w:div w:id="1554459978">
      <w:bodyDiv w:val="1"/>
      <w:marLeft w:val="0"/>
      <w:marRight w:val="0"/>
      <w:marTop w:val="0"/>
      <w:marBottom w:val="0"/>
      <w:divBdr>
        <w:top w:val="none" w:sz="0" w:space="0" w:color="auto"/>
        <w:left w:val="none" w:sz="0" w:space="0" w:color="auto"/>
        <w:bottom w:val="none" w:sz="0" w:space="0" w:color="auto"/>
        <w:right w:val="none" w:sz="0" w:space="0" w:color="auto"/>
      </w:divBdr>
    </w:div>
    <w:div w:id="1587569400">
      <w:bodyDiv w:val="1"/>
      <w:marLeft w:val="0"/>
      <w:marRight w:val="0"/>
      <w:marTop w:val="0"/>
      <w:marBottom w:val="0"/>
      <w:divBdr>
        <w:top w:val="none" w:sz="0" w:space="0" w:color="auto"/>
        <w:left w:val="none" w:sz="0" w:space="0" w:color="auto"/>
        <w:bottom w:val="none" w:sz="0" w:space="0" w:color="auto"/>
        <w:right w:val="none" w:sz="0" w:space="0" w:color="auto"/>
      </w:divBdr>
    </w:div>
    <w:div w:id="1590771192">
      <w:bodyDiv w:val="1"/>
      <w:marLeft w:val="0"/>
      <w:marRight w:val="0"/>
      <w:marTop w:val="0"/>
      <w:marBottom w:val="0"/>
      <w:divBdr>
        <w:top w:val="none" w:sz="0" w:space="0" w:color="auto"/>
        <w:left w:val="none" w:sz="0" w:space="0" w:color="auto"/>
        <w:bottom w:val="none" w:sz="0" w:space="0" w:color="auto"/>
        <w:right w:val="none" w:sz="0" w:space="0" w:color="auto"/>
      </w:divBdr>
    </w:div>
    <w:div w:id="1608926438">
      <w:bodyDiv w:val="1"/>
      <w:marLeft w:val="0"/>
      <w:marRight w:val="0"/>
      <w:marTop w:val="0"/>
      <w:marBottom w:val="0"/>
      <w:divBdr>
        <w:top w:val="none" w:sz="0" w:space="0" w:color="auto"/>
        <w:left w:val="none" w:sz="0" w:space="0" w:color="auto"/>
        <w:bottom w:val="none" w:sz="0" w:space="0" w:color="auto"/>
        <w:right w:val="none" w:sz="0" w:space="0" w:color="auto"/>
      </w:divBdr>
    </w:div>
    <w:div w:id="1626034825">
      <w:bodyDiv w:val="1"/>
      <w:marLeft w:val="0"/>
      <w:marRight w:val="0"/>
      <w:marTop w:val="0"/>
      <w:marBottom w:val="0"/>
      <w:divBdr>
        <w:top w:val="none" w:sz="0" w:space="0" w:color="auto"/>
        <w:left w:val="none" w:sz="0" w:space="0" w:color="auto"/>
        <w:bottom w:val="none" w:sz="0" w:space="0" w:color="auto"/>
        <w:right w:val="none" w:sz="0" w:space="0" w:color="auto"/>
      </w:divBdr>
    </w:div>
    <w:div w:id="1642418694">
      <w:bodyDiv w:val="1"/>
      <w:marLeft w:val="0"/>
      <w:marRight w:val="0"/>
      <w:marTop w:val="0"/>
      <w:marBottom w:val="0"/>
      <w:divBdr>
        <w:top w:val="none" w:sz="0" w:space="0" w:color="auto"/>
        <w:left w:val="none" w:sz="0" w:space="0" w:color="auto"/>
        <w:bottom w:val="none" w:sz="0" w:space="0" w:color="auto"/>
        <w:right w:val="none" w:sz="0" w:space="0" w:color="auto"/>
      </w:divBdr>
    </w:div>
    <w:div w:id="1647319622">
      <w:bodyDiv w:val="1"/>
      <w:marLeft w:val="0"/>
      <w:marRight w:val="0"/>
      <w:marTop w:val="0"/>
      <w:marBottom w:val="0"/>
      <w:divBdr>
        <w:top w:val="none" w:sz="0" w:space="0" w:color="auto"/>
        <w:left w:val="none" w:sz="0" w:space="0" w:color="auto"/>
        <w:bottom w:val="none" w:sz="0" w:space="0" w:color="auto"/>
        <w:right w:val="none" w:sz="0" w:space="0" w:color="auto"/>
      </w:divBdr>
    </w:div>
    <w:div w:id="1649045939">
      <w:bodyDiv w:val="1"/>
      <w:marLeft w:val="0"/>
      <w:marRight w:val="0"/>
      <w:marTop w:val="0"/>
      <w:marBottom w:val="0"/>
      <w:divBdr>
        <w:top w:val="none" w:sz="0" w:space="0" w:color="auto"/>
        <w:left w:val="none" w:sz="0" w:space="0" w:color="auto"/>
        <w:bottom w:val="none" w:sz="0" w:space="0" w:color="auto"/>
        <w:right w:val="none" w:sz="0" w:space="0" w:color="auto"/>
      </w:divBdr>
    </w:div>
    <w:div w:id="1654483018">
      <w:bodyDiv w:val="1"/>
      <w:marLeft w:val="0"/>
      <w:marRight w:val="0"/>
      <w:marTop w:val="0"/>
      <w:marBottom w:val="0"/>
      <w:divBdr>
        <w:top w:val="none" w:sz="0" w:space="0" w:color="auto"/>
        <w:left w:val="none" w:sz="0" w:space="0" w:color="auto"/>
        <w:bottom w:val="none" w:sz="0" w:space="0" w:color="auto"/>
        <w:right w:val="none" w:sz="0" w:space="0" w:color="auto"/>
      </w:divBdr>
    </w:div>
    <w:div w:id="1674722026">
      <w:bodyDiv w:val="1"/>
      <w:marLeft w:val="0"/>
      <w:marRight w:val="0"/>
      <w:marTop w:val="0"/>
      <w:marBottom w:val="0"/>
      <w:divBdr>
        <w:top w:val="none" w:sz="0" w:space="0" w:color="auto"/>
        <w:left w:val="none" w:sz="0" w:space="0" w:color="auto"/>
        <w:bottom w:val="none" w:sz="0" w:space="0" w:color="auto"/>
        <w:right w:val="none" w:sz="0" w:space="0" w:color="auto"/>
      </w:divBdr>
    </w:div>
    <w:div w:id="1677270352">
      <w:bodyDiv w:val="1"/>
      <w:marLeft w:val="0"/>
      <w:marRight w:val="0"/>
      <w:marTop w:val="0"/>
      <w:marBottom w:val="0"/>
      <w:divBdr>
        <w:top w:val="none" w:sz="0" w:space="0" w:color="auto"/>
        <w:left w:val="none" w:sz="0" w:space="0" w:color="auto"/>
        <w:bottom w:val="none" w:sz="0" w:space="0" w:color="auto"/>
        <w:right w:val="none" w:sz="0" w:space="0" w:color="auto"/>
      </w:divBdr>
    </w:div>
    <w:div w:id="1683704044">
      <w:bodyDiv w:val="1"/>
      <w:marLeft w:val="0"/>
      <w:marRight w:val="0"/>
      <w:marTop w:val="0"/>
      <w:marBottom w:val="0"/>
      <w:divBdr>
        <w:top w:val="none" w:sz="0" w:space="0" w:color="auto"/>
        <w:left w:val="none" w:sz="0" w:space="0" w:color="auto"/>
        <w:bottom w:val="none" w:sz="0" w:space="0" w:color="auto"/>
        <w:right w:val="none" w:sz="0" w:space="0" w:color="auto"/>
      </w:divBdr>
    </w:div>
    <w:div w:id="1686904442">
      <w:bodyDiv w:val="1"/>
      <w:marLeft w:val="0"/>
      <w:marRight w:val="0"/>
      <w:marTop w:val="0"/>
      <w:marBottom w:val="0"/>
      <w:divBdr>
        <w:top w:val="none" w:sz="0" w:space="0" w:color="auto"/>
        <w:left w:val="none" w:sz="0" w:space="0" w:color="auto"/>
        <w:bottom w:val="none" w:sz="0" w:space="0" w:color="auto"/>
        <w:right w:val="none" w:sz="0" w:space="0" w:color="auto"/>
      </w:divBdr>
    </w:div>
    <w:div w:id="1700202273">
      <w:bodyDiv w:val="1"/>
      <w:marLeft w:val="0"/>
      <w:marRight w:val="0"/>
      <w:marTop w:val="0"/>
      <w:marBottom w:val="0"/>
      <w:divBdr>
        <w:top w:val="none" w:sz="0" w:space="0" w:color="auto"/>
        <w:left w:val="none" w:sz="0" w:space="0" w:color="auto"/>
        <w:bottom w:val="none" w:sz="0" w:space="0" w:color="auto"/>
        <w:right w:val="none" w:sz="0" w:space="0" w:color="auto"/>
      </w:divBdr>
    </w:div>
    <w:div w:id="1744372222">
      <w:bodyDiv w:val="1"/>
      <w:marLeft w:val="0"/>
      <w:marRight w:val="0"/>
      <w:marTop w:val="0"/>
      <w:marBottom w:val="0"/>
      <w:divBdr>
        <w:top w:val="none" w:sz="0" w:space="0" w:color="auto"/>
        <w:left w:val="none" w:sz="0" w:space="0" w:color="auto"/>
        <w:bottom w:val="none" w:sz="0" w:space="0" w:color="auto"/>
        <w:right w:val="none" w:sz="0" w:space="0" w:color="auto"/>
      </w:divBdr>
    </w:div>
    <w:div w:id="1762677290">
      <w:bodyDiv w:val="1"/>
      <w:marLeft w:val="0"/>
      <w:marRight w:val="0"/>
      <w:marTop w:val="0"/>
      <w:marBottom w:val="0"/>
      <w:divBdr>
        <w:top w:val="none" w:sz="0" w:space="0" w:color="auto"/>
        <w:left w:val="none" w:sz="0" w:space="0" w:color="auto"/>
        <w:bottom w:val="none" w:sz="0" w:space="0" w:color="auto"/>
        <w:right w:val="none" w:sz="0" w:space="0" w:color="auto"/>
      </w:divBdr>
    </w:div>
    <w:div w:id="1769502952">
      <w:bodyDiv w:val="1"/>
      <w:marLeft w:val="0"/>
      <w:marRight w:val="0"/>
      <w:marTop w:val="0"/>
      <w:marBottom w:val="0"/>
      <w:divBdr>
        <w:top w:val="none" w:sz="0" w:space="0" w:color="auto"/>
        <w:left w:val="none" w:sz="0" w:space="0" w:color="auto"/>
        <w:bottom w:val="none" w:sz="0" w:space="0" w:color="auto"/>
        <w:right w:val="none" w:sz="0" w:space="0" w:color="auto"/>
      </w:divBdr>
    </w:div>
    <w:div w:id="1795557852">
      <w:bodyDiv w:val="1"/>
      <w:marLeft w:val="0"/>
      <w:marRight w:val="0"/>
      <w:marTop w:val="0"/>
      <w:marBottom w:val="0"/>
      <w:divBdr>
        <w:top w:val="none" w:sz="0" w:space="0" w:color="auto"/>
        <w:left w:val="none" w:sz="0" w:space="0" w:color="auto"/>
        <w:bottom w:val="none" w:sz="0" w:space="0" w:color="auto"/>
        <w:right w:val="none" w:sz="0" w:space="0" w:color="auto"/>
      </w:divBdr>
    </w:div>
    <w:div w:id="1803843577">
      <w:bodyDiv w:val="1"/>
      <w:marLeft w:val="0"/>
      <w:marRight w:val="0"/>
      <w:marTop w:val="0"/>
      <w:marBottom w:val="0"/>
      <w:divBdr>
        <w:top w:val="none" w:sz="0" w:space="0" w:color="auto"/>
        <w:left w:val="none" w:sz="0" w:space="0" w:color="auto"/>
        <w:bottom w:val="none" w:sz="0" w:space="0" w:color="auto"/>
        <w:right w:val="none" w:sz="0" w:space="0" w:color="auto"/>
      </w:divBdr>
    </w:div>
    <w:div w:id="1839687725">
      <w:bodyDiv w:val="1"/>
      <w:marLeft w:val="0"/>
      <w:marRight w:val="0"/>
      <w:marTop w:val="0"/>
      <w:marBottom w:val="0"/>
      <w:divBdr>
        <w:top w:val="none" w:sz="0" w:space="0" w:color="auto"/>
        <w:left w:val="none" w:sz="0" w:space="0" w:color="auto"/>
        <w:bottom w:val="none" w:sz="0" w:space="0" w:color="auto"/>
        <w:right w:val="none" w:sz="0" w:space="0" w:color="auto"/>
      </w:divBdr>
    </w:div>
    <w:div w:id="1856454127">
      <w:bodyDiv w:val="1"/>
      <w:marLeft w:val="0"/>
      <w:marRight w:val="0"/>
      <w:marTop w:val="0"/>
      <w:marBottom w:val="0"/>
      <w:divBdr>
        <w:top w:val="none" w:sz="0" w:space="0" w:color="auto"/>
        <w:left w:val="none" w:sz="0" w:space="0" w:color="auto"/>
        <w:bottom w:val="none" w:sz="0" w:space="0" w:color="auto"/>
        <w:right w:val="none" w:sz="0" w:space="0" w:color="auto"/>
      </w:divBdr>
    </w:div>
    <w:div w:id="1861385862">
      <w:bodyDiv w:val="1"/>
      <w:marLeft w:val="0"/>
      <w:marRight w:val="0"/>
      <w:marTop w:val="0"/>
      <w:marBottom w:val="0"/>
      <w:divBdr>
        <w:top w:val="none" w:sz="0" w:space="0" w:color="auto"/>
        <w:left w:val="none" w:sz="0" w:space="0" w:color="auto"/>
        <w:bottom w:val="none" w:sz="0" w:space="0" w:color="auto"/>
        <w:right w:val="none" w:sz="0" w:space="0" w:color="auto"/>
      </w:divBdr>
    </w:div>
    <w:div w:id="1866480989">
      <w:bodyDiv w:val="1"/>
      <w:marLeft w:val="0"/>
      <w:marRight w:val="0"/>
      <w:marTop w:val="0"/>
      <w:marBottom w:val="0"/>
      <w:divBdr>
        <w:top w:val="none" w:sz="0" w:space="0" w:color="auto"/>
        <w:left w:val="none" w:sz="0" w:space="0" w:color="auto"/>
        <w:bottom w:val="none" w:sz="0" w:space="0" w:color="auto"/>
        <w:right w:val="none" w:sz="0" w:space="0" w:color="auto"/>
      </w:divBdr>
    </w:div>
    <w:div w:id="1876770331">
      <w:bodyDiv w:val="1"/>
      <w:marLeft w:val="0"/>
      <w:marRight w:val="0"/>
      <w:marTop w:val="0"/>
      <w:marBottom w:val="0"/>
      <w:divBdr>
        <w:top w:val="none" w:sz="0" w:space="0" w:color="auto"/>
        <w:left w:val="none" w:sz="0" w:space="0" w:color="auto"/>
        <w:bottom w:val="none" w:sz="0" w:space="0" w:color="auto"/>
        <w:right w:val="none" w:sz="0" w:space="0" w:color="auto"/>
      </w:divBdr>
    </w:div>
    <w:div w:id="1894002843">
      <w:bodyDiv w:val="1"/>
      <w:marLeft w:val="0"/>
      <w:marRight w:val="0"/>
      <w:marTop w:val="0"/>
      <w:marBottom w:val="0"/>
      <w:divBdr>
        <w:top w:val="none" w:sz="0" w:space="0" w:color="auto"/>
        <w:left w:val="none" w:sz="0" w:space="0" w:color="auto"/>
        <w:bottom w:val="none" w:sz="0" w:space="0" w:color="auto"/>
        <w:right w:val="none" w:sz="0" w:space="0" w:color="auto"/>
      </w:divBdr>
    </w:div>
    <w:div w:id="1900749813">
      <w:bodyDiv w:val="1"/>
      <w:marLeft w:val="0"/>
      <w:marRight w:val="0"/>
      <w:marTop w:val="0"/>
      <w:marBottom w:val="0"/>
      <w:divBdr>
        <w:top w:val="none" w:sz="0" w:space="0" w:color="auto"/>
        <w:left w:val="none" w:sz="0" w:space="0" w:color="auto"/>
        <w:bottom w:val="none" w:sz="0" w:space="0" w:color="auto"/>
        <w:right w:val="none" w:sz="0" w:space="0" w:color="auto"/>
      </w:divBdr>
    </w:div>
    <w:div w:id="1919555265">
      <w:bodyDiv w:val="1"/>
      <w:marLeft w:val="0"/>
      <w:marRight w:val="0"/>
      <w:marTop w:val="0"/>
      <w:marBottom w:val="0"/>
      <w:divBdr>
        <w:top w:val="none" w:sz="0" w:space="0" w:color="auto"/>
        <w:left w:val="none" w:sz="0" w:space="0" w:color="auto"/>
        <w:bottom w:val="none" w:sz="0" w:space="0" w:color="auto"/>
        <w:right w:val="none" w:sz="0" w:space="0" w:color="auto"/>
      </w:divBdr>
    </w:div>
    <w:div w:id="1950509859">
      <w:bodyDiv w:val="1"/>
      <w:marLeft w:val="0"/>
      <w:marRight w:val="0"/>
      <w:marTop w:val="0"/>
      <w:marBottom w:val="0"/>
      <w:divBdr>
        <w:top w:val="none" w:sz="0" w:space="0" w:color="auto"/>
        <w:left w:val="none" w:sz="0" w:space="0" w:color="auto"/>
        <w:bottom w:val="none" w:sz="0" w:space="0" w:color="auto"/>
        <w:right w:val="none" w:sz="0" w:space="0" w:color="auto"/>
      </w:divBdr>
    </w:div>
    <w:div w:id="1962765542">
      <w:bodyDiv w:val="1"/>
      <w:marLeft w:val="0"/>
      <w:marRight w:val="0"/>
      <w:marTop w:val="0"/>
      <w:marBottom w:val="0"/>
      <w:divBdr>
        <w:top w:val="none" w:sz="0" w:space="0" w:color="auto"/>
        <w:left w:val="none" w:sz="0" w:space="0" w:color="auto"/>
        <w:bottom w:val="none" w:sz="0" w:space="0" w:color="auto"/>
        <w:right w:val="none" w:sz="0" w:space="0" w:color="auto"/>
      </w:divBdr>
    </w:div>
    <w:div w:id="1983343318">
      <w:bodyDiv w:val="1"/>
      <w:marLeft w:val="0"/>
      <w:marRight w:val="0"/>
      <w:marTop w:val="0"/>
      <w:marBottom w:val="0"/>
      <w:divBdr>
        <w:top w:val="none" w:sz="0" w:space="0" w:color="auto"/>
        <w:left w:val="none" w:sz="0" w:space="0" w:color="auto"/>
        <w:bottom w:val="none" w:sz="0" w:space="0" w:color="auto"/>
        <w:right w:val="none" w:sz="0" w:space="0" w:color="auto"/>
      </w:divBdr>
    </w:div>
    <w:div w:id="1983921050">
      <w:bodyDiv w:val="1"/>
      <w:marLeft w:val="0"/>
      <w:marRight w:val="0"/>
      <w:marTop w:val="0"/>
      <w:marBottom w:val="0"/>
      <w:divBdr>
        <w:top w:val="none" w:sz="0" w:space="0" w:color="auto"/>
        <w:left w:val="none" w:sz="0" w:space="0" w:color="auto"/>
        <w:bottom w:val="none" w:sz="0" w:space="0" w:color="auto"/>
        <w:right w:val="none" w:sz="0" w:space="0" w:color="auto"/>
      </w:divBdr>
    </w:div>
    <w:div w:id="1996374943">
      <w:bodyDiv w:val="1"/>
      <w:marLeft w:val="0"/>
      <w:marRight w:val="0"/>
      <w:marTop w:val="0"/>
      <w:marBottom w:val="0"/>
      <w:divBdr>
        <w:top w:val="none" w:sz="0" w:space="0" w:color="auto"/>
        <w:left w:val="none" w:sz="0" w:space="0" w:color="auto"/>
        <w:bottom w:val="none" w:sz="0" w:space="0" w:color="auto"/>
        <w:right w:val="none" w:sz="0" w:space="0" w:color="auto"/>
      </w:divBdr>
    </w:div>
    <w:div w:id="1997565501">
      <w:bodyDiv w:val="1"/>
      <w:marLeft w:val="0"/>
      <w:marRight w:val="0"/>
      <w:marTop w:val="0"/>
      <w:marBottom w:val="0"/>
      <w:divBdr>
        <w:top w:val="none" w:sz="0" w:space="0" w:color="auto"/>
        <w:left w:val="none" w:sz="0" w:space="0" w:color="auto"/>
        <w:bottom w:val="none" w:sz="0" w:space="0" w:color="auto"/>
        <w:right w:val="none" w:sz="0" w:space="0" w:color="auto"/>
      </w:divBdr>
    </w:div>
    <w:div w:id="1998534278">
      <w:bodyDiv w:val="1"/>
      <w:marLeft w:val="0"/>
      <w:marRight w:val="0"/>
      <w:marTop w:val="0"/>
      <w:marBottom w:val="0"/>
      <w:divBdr>
        <w:top w:val="none" w:sz="0" w:space="0" w:color="auto"/>
        <w:left w:val="none" w:sz="0" w:space="0" w:color="auto"/>
        <w:bottom w:val="none" w:sz="0" w:space="0" w:color="auto"/>
        <w:right w:val="none" w:sz="0" w:space="0" w:color="auto"/>
      </w:divBdr>
    </w:div>
    <w:div w:id="2026898859">
      <w:bodyDiv w:val="1"/>
      <w:marLeft w:val="0"/>
      <w:marRight w:val="0"/>
      <w:marTop w:val="0"/>
      <w:marBottom w:val="0"/>
      <w:divBdr>
        <w:top w:val="none" w:sz="0" w:space="0" w:color="auto"/>
        <w:left w:val="none" w:sz="0" w:space="0" w:color="auto"/>
        <w:bottom w:val="none" w:sz="0" w:space="0" w:color="auto"/>
        <w:right w:val="none" w:sz="0" w:space="0" w:color="auto"/>
      </w:divBdr>
    </w:div>
    <w:div w:id="2031682743">
      <w:bodyDiv w:val="1"/>
      <w:marLeft w:val="0"/>
      <w:marRight w:val="0"/>
      <w:marTop w:val="0"/>
      <w:marBottom w:val="0"/>
      <w:divBdr>
        <w:top w:val="none" w:sz="0" w:space="0" w:color="auto"/>
        <w:left w:val="none" w:sz="0" w:space="0" w:color="auto"/>
        <w:bottom w:val="none" w:sz="0" w:space="0" w:color="auto"/>
        <w:right w:val="none" w:sz="0" w:space="0" w:color="auto"/>
      </w:divBdr>
    </w:div>
    <w:div w:id="2033728905">
      <w:bodyDiv w:val="1"/>
      <w:marLeft w:val="0"/>
      <w:marRight w:val="0"/>
      <w:marTop w:val="0"/>
      <w:marBottom w:val="0"/>
      <w:divBdr>
        <w:top w:val="none" w:sz="0" w:space="0" w:color="auto"/>
        <w:left w:val="none" w:sz="0" w:space="0" w:color="auto"/>
        <w:bottom w:val="none" w:sz="0" w:space="0" w:color="auto"/>
        <w:right w:val="none" w:sz="0" w:space="0" w:color="auto"/>
      </w:divBdr>
    </w:div>
    <w:div w:id="2038697923">
      <w:bodyDiv w:val="1"/>
      <w:marLeft w:val="0"/>
      <w:marRight w:val="0"/>
      <w:marTop w:val="0"/>
      <w:marBottom w:val="0"/>
      <w:divBdr>
        <w:top w:val="none" w:sz="0" w:space="0" w:color="auto"/>
        <w:left w:val="none" w:sz="0" w:space="0" w:color="auto"/>
        <w:bottom w:val="none" w:sz="0" w:space="0" w:color="auto"/>
        <w:right w:val="none" w:sz="0" w:space="0" w:color="auto"/>
      </w:divBdr>
    </w:div>
    <w:div w:id="2063096899">
      <w:bodyDiv w:val="1"/>
      <w:marLeft w:val="0"/>
      <w:marRight w:val="0"/>
      <w:marTop w:val="0"/>
      <w:marBottom w:val="0"/>
      <w:divBdr>
        <w:top w:val="none" w:sz="0" w:space="0" w:color="auto"/>
        <w:left w:val="none" w:sz="0" w:space="0" w:color="auto"/>
        <w:bottom w:val="none" w:sz="0" w:space="0" w:color="auto"/>
        <w:right w:val="none" w:sz="0" w:space="0" w:color="auto"/>
      </w:divBdr>
    </w:div>
    <w:div w:id="2074308772">
      <w:bodyDiv w:val="1"/>
      <w:marLeft w:val="0"/>
      <w:marRight w:val="0"/>
      <w:marTop w:val="0"/>
      <w:marBottom w:val="0"/>
      <w:divBdr>
        <w:top w:val="none" w:sz="0" w:space="0" w:color="auto"/>
        <w:left w:val="none" w:sz="0" w:space="0" w:color="auto"/>
        <w:bottom w:val="none" w:sz="0" w:space="0" w:color="auto"/>
        <w:right w:val="none" w:sz="0" w:space="0" w:color="auto"/>
      </w:divBdr>
    </w:div>
    <w:div w:id="2076320131">
      <w:bodyDiv w:val="1"/>
      <w:marLeft w:val="0"/>
      <w:marRight w:val="0"/>
      <w:marTop w:val="0"/>
      <w:marBottom w:val="0"/>
      <w:divBdr>
        <w:top w:val="none" w:sz="0" w:space="0" w:color="auto"/>
        <w:left w:val="none" w:sz="0" w:space="0" w:color="auto"/>
        <w:bottom w:val="none" w:sz="0" w:space="0" w:color="auto"/>
        <w:right w:val="none" w:sz="0" w:space="0" w:color="auto"/>
      </w:divBdr>
    </w:div>
    <w:div w:id="2112817391">
      <w:bodyDiv w:val="1"/>
      <w:marLeft w:val="0"/>
      <w:marRight w:val="0"/>
      <w:marTop w:val="0"/>
      <w:marBottom w:val="0"/>
      <w:divBdr>
        <w:top w:val="none" w:sz="0" w:space="0" w:color="auto"/>
        <w:left w:val="none" w:sz="0" w:space="0" w:color="auto"/>
        <w:bottom w:val="none" w:sz="0" w:space="0" w:color="auto"/>
        <w:right w:val="none" w:sz="0" w:space="0" w:color="auto"/>
      </w:divBdr>
    </w:div>
    <w:div w:id="2118601850">
      <w:bodyDiv w:val="1"/>
      <w:marLeft w:val="0"/>
      <w:marRight w:val="0"/>
      <w:marTop w:val="0"/>
      <w:marBottom w:val="0"/>
      <w:divBdr>
        <w:top w:val="none" w:sz="0" w:space="0" w:color="auto"/>
        <w:left w:val="none" w:sz="0" w:space="0" w:color="auto"/>
        <w:bottom w:val="none" w:sz="0" w:space="0" w:color="auto"/>
        <w:right w:val="none" w:sz="0" w:space="0" w:color="auto"/>
      </w:divBdr>
    </w:div>
    <w:div w:id="2119830156">
      <w:bodyDiv w:val="1"/>
      <w:marLeft w:val="0"/>
      <w:marRight w:val="0"/>
      <w:marTop w:val="0"/>
      <w:marBottom w:val="0"/>
      <w:divBdr>
        <w:top w:val="none" w:sz="0" w:space="0" w:color="auto"/>
        <w:left w:val="none" w:sz="0" w:space="0" w:color="auto"/>
        <w:bottom w:val="none" w:sz="0" w:space="0" w:color="auto"/>
        <w:right w:val="none" w:sz="0" w:space="0" w:color="auto"/>
      </w:divBdr>
    </w:div>
    <w:div w:id="2120444499">
      <w:bodyDiv w:val="1"/>
      <w:marLeft w:val="0"/>
      <w:marRight w:val="0"/>
      <w:marTop w:val="0"/>
      <w:marBottom w:val="0"/>
      <w:divBdr>
        <w:top w:val="none" w:sz="0" w:space="0" w:color="auto"/>
        <w:left w:val="none" w:sz="0" w:space="0" w:color="auto"/>
        <w:bottom w:val="none" w:sz="0" w:space="0" w:color="auto"/>
        <w:right w:val="none" w:sz="0" w:space="0" w:color="auto"/>
      </w:divBdr>
    </w:div>
    <w:div w:id="2121680100">
      <w:bodyDiv w:val="1"/>
      <w:marLeft w:val="0"/>
      <w:marRight w:val="0"/>
      <w:marTop w:val="0"/>
      <w:marBottom w:val="0"/>
      <w:divBdr>
        <w:top w:val="none" w:sz="0" w:space="0" w:color="auto"/>
        <w:left w:val="none" w:sz="0" w:space="0" w:color="auto"/>
        <w:bottom w:val="none" w:sz="0" w:space="0" w:color="auto"/>
        <w:right w:val="none" w:sz="0" w:space="0" w:color="auto"/>
      </w:divBdr>
    </w:div>
    <w:div w:id="213236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5.xml"/><Relationship Id="rId26" Type="http://schemas.openxmlformats.org/officeDocument/2006/relationships/hyperlink" Target="https://gino.istat.it/incidenti" TargetMode="External"/><Relationship Id="rId39" Type="http://schemas.openxmlformats.org/officeDocument/2006/relationships/header" Target="header1.xml"/><Relationship Id="rId21" Type="http://schemas.openxmlformats.org/officeDocument/2006/relationships/chart" Target="charts/chart8.xml"/><Relationship Id="rId34" Type="http://schemas.openxmlformats.org/officeDocument/2006/relationships/image" Target="media/image11.wmf"/><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oleObject" Target="embeddings/oleObject1.bin"/><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1.xml"/><Relationship Id="rId32" Type="http://schemas.openxmlformats.org/officeDocument/2006/relationships/image" Target="media/image10.wmf"/><Relationship Id="rId37" Type="http://schemas.openxmlformats.org/officeDocument/2006/relationships/hyperlink" Target="http://www.istat.it/it/archivio/87539"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10.xml"/><Relationship Id="rId28" Type="http://schemas.openxmlformats.org/officeDocument/2006/relationships/image" Target="media/image8.wmf"/><Relationship Id="rId36" Type="http://schemas.openxmlformats.org/officeDocument/2006/relationships/hyperlink" Target="http://www.istat.it/it/archivio/76750" TargetMode="External"/><Relationship Id="rId10" Type="http://schemas.openxmlformats.org/officeDocument/2006/relationships/image" Target="media/image1.png"/><Relationship Id="rId19" Type="http://schemas.openxmlformats.org/officeDocument/2006/relationships/chart" Target="charts/chart6.xml"/><Relationship Id="rId31" Type="http://schemas.openxmlformats.org/officeDocument/2006/relationships/oleObject" Target="embeddings/oleObject2.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png"/><Relationship Id="rId22" Type="http://schemas.openxmlformats.org/officeDocument/2006/relationships/chart" Target="charts/chart9.xml"/><Relationship Id="rId27" Type="http://schemas.openxmlformats.org/officeDocument/2006/relationships/image" Target="media/image7.jpeg"/><Relationship Id="rId30" Type="http://schemas.openxmlformats.org/officeDocument/2006/relationships/image" Target="media/image9.wmf"/><Relationship Id="rId35" Type="http://schemas.openxmlformats.org/officeDocument/2006/relationships/oleObject" Target="embeddings/oleObject4.bin"/><Relationship Id="rId43" Type="http://schemas.openxmlformats.org/officeDocument/2006/relationships/fontTable" Target="fontTable.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hyperlink" Target="https://www.istat.it/it/archivio/257382" TargetMode="External"/><Relationship Id="rId33" Type="http://schemas.openxmlformats.org/officeDocument/2006/relationships/oleObject" Target="embeddings/oleObject3.bin"/><Relationship Id="rId38" Type="http://schemas.openxmlformats.org/officeDocument/2006/relationships/hyperlink" Target="http://ec.europa.eu/transport/road_safety/specialist/statistics/index_en.ht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2" Type="http://schemas.openxmlformats.org/officeDocument/2006/relationships/package" Target="../embeddings/Foglio_di_lavoro_di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Foglio_di_lavoro_di_Microsoft_Excel9.xlsx"/></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Foglio_di_lavoro_di_Microsoft_Excel10.xlsx"/><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1" Type="http://schemas.openxmlformats.org/officeDocument/2006/relationships/package" Target="../embeddings/Foglio_di_lavoro_di_Microsoft_Excel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Foglio_di_lavoro_di_Microsoft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Foglio_di_lavoro_di_Microsoft_Excel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Foglio_di_lavoro_di_Microsoft_Excel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Foglio_di_lavoro_di_Microsoft_Excel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Foglio_di_lavoro_di_Microsoft_Excel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1" Type="http://schemas.openxmlformats.org/officeDocument/2006/relationships/package" Target="../embeddings/Foglio_di_lavoro_di_Microsoft_Excel7.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Foglio_di_lavoro_di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537762383282653"/>
          <c:y val="6.6590738993199047E-2"/>
          <c:w val="0.59589969135802479"/>
          <c:h val="0.7779138888888889"/>
        </c:manualLayout>
      </c:layout>
      <c:barChart>
        <c:barDir val="bar"/>
        <c:grouping val="stacked"/>
        <c:varyColors val="0"/>
        <c:ser>
          <c:idx val="0"/>
          <c:order val="0"/>
          <c:tx>
            <c:strRef>
              <c:f>'Figura 1'!$B$17</c:f>
              <c:strCache>
                <c:ptCount val="1"/>
                <c:pt idx="0">
                  <c:v>Bambini (0 - 14)</c:v>
                </c:pt>
              </c:strCache>
            </c:strRef>
          </c:tx>
          <c:spPr>
            <a:solidFill>
              <a:srgbClr val="7F7F7F"/>
            </a:solidFill>
          </c:spPr>
          <c:invertIfNegative val="0"/>
          <c:cat>
            <c:strRef>
              <c:f>'Figura 1'!$C$16:$F$16</c:f>
              <c:strCache>
                <c:ptCount val="4"/>
                <c:pt idx="0">
                  <c:v>Basilicata 2010</c:v>
                </c:pt>
                <c:pt idx="1">
                  <c:v>Basilicata 2021</c:v>
                </c:pt>
                <c:pt idx="2">
                  <c:v>Italia 2010</c:v>
                </c:pt>
                <c:pt idx="3">
                  <c:v>Italia 2021</c:v>
                </c:pt>
              </c:strCache>
            </c:strRef>
          </c:cat>
          <c:val>
            <c:numRef>
              <c:f>'Figura 1'!$C$17:$F$17</c:f>
              <c:numCache>
                <c:formatCode>0.0</c:formatCode>
                <c:ptCount val="4"/>
                <c:pt idx="0">
                  <c:v>2.083333333333333</c:v>
                </c:pt>
                <c:pt idx="1">
                  <c:v>0</c:v>
                </c:pt>
                <c:pt idx="2">
                  <c:v>1.7015070491006319</c:v>
                </c:pt>
                <c:pt idx="3">
                  <c:v>0.9739130434782608</c:v>
                </c:pt>
              </c:numCache>
            </c:numRef>
          </c:val>
          <c:extLst>
            <c:ext xmlns:c16="http://schemas.microsoft.com/office/drawing/2014/chart" uri="{C3380CC4-5D6E-409C-BE32-E72D297353CC}">
              <c16:uniqueId val="{00000000-9BC1-49AE-8ECB-6B906CDE91F3}"/>
            </c:ext>
          </c:extLst>
        </c:ser>
        <c:ser>
          <c:idx val="1"/>
          <c:order val="1"/>
          <c:tx>
            <c:strRef>
              <c:f>'Figura 1'!$B$18</c:f>
              <c:strCache>
                <c:ptCount val="1"/>
                <c:pt idx="0">
                  <c:v>Giovani (15 - 24)</c:v>
                </c:pt>
              </c:strCache>
            </c:strRef>
          </c:tx>
          <c:spPr>
            <a:solidFill>
              <a:srgbClr val="BFBFBF"/>
            </a:solidFill>
          </c:spPr>
          <c:invertIfNegative val="0"/>
          <c:cat>
            <c:strRef>
              <c:f>'Figura 1'!$C$16:$F$16</c:f>
              <c:strCache>
                <c:ptCount val="4"/>
                <c:pt idx="0">
                  <c:v>Basilicata 2010</c:v>
                </c:pt>
                <c:pt idx="1">
                  <c:v>Basilicata 2021</c:v>
                </c:pt>
                <c:pt idx="2">
                  <c:v>Italia 2010</c:v>
                </c:pt>
                <c:pt idx="3">
                  <c:v>Italia 2021</c:v>
                </c:pt>
              </c:strCache>
            </c:strRef>
          </c:cat>
          <c:val>
            <c:numRef>
              <c:f>'Figura 1'!$C$18:$F$18</c:f>
              <c:numCache>
                <c:formatCode>0.0</c:formatCode>
                <c:ptCount val="4"/>
                <c:pt idx="0">
                  <c:v>6.25</c:v>
                </c:pt>
                <c:pt idx="1">
                  <c:v>11.111111111111111</c:v>
                </c:pt>
                <c:pt idx="2">
                  <c:v>16.237238697131744</c:v>
                </c:pt>
                <c:pt idx="3">
                  <c:v>12.695652173913045</c:v>
                </c:pt>
              </c:numCache>
            </c:numRef>
          </c:val>
          <c:extLst>
            <c:ext xmlns:c16="http://schemas.microsoft.com/office/drawing/2014/chart" uri="{C3380CC4-5D6E-409C-BE32-E72D297353CC}">
              <c16:uniqueId val="{00000001-9BC1-49AE-8ECB-6B906CDE91F3}"/>
            </c:ext>
          </c:extLst>
        </c:ser>
        <c:ser>
          <c:idx val="2"/>
          <c:order val="2"/>
          <c:tx>
            <c:strRef>
              <c:f>'Figura 1'!$B$19</c:f>
              <c:strCache>
                <c:ptCount val="1"/>
                <c:pt idx="0">
                  <c:v>Anziani (65+)</c:v>
                </c:pt>
              </c:strCache>
            </c:strRef>
          </c:tx>
          <c:spPr>
            <a:solidFill>
              <a:srgbClr val="D99694"/>
            </a:solidFill>
          </c:spPr>
          <c:invertIfNegative val="0"/>
          <c:cat>
            <c:strRef>
              <c:f>'Figura 1'!$C$16:$F$16</c:f>
              <c:strCache>
                <c:ptCount val="4"/>
                <c:pt idx="0">
                  <c:v>Basilicata 2010</c:v>
                </c:pt>
                <c:pt idx="1">
                  <c:v>Basilicata 2021</c:v>
                </c:pt>
                <c:pt idx="2">
                  <c:v>Italia 2010</c:v>
                </c:pt>
                <c:pt idx="3">
                  <c:v>Italia 2021</c:v>
                </c:pt>
              </c:strCache>
            </c:strRef>
          </c:cat>
          <c:val>
            <c:numRef>
              <c:f>'Figura 1'!$C$19:$F$19</c:f>
              <c:numCache>
                <c:formatCode>0.0</c:formatCode>
                <c:ptCount val="4"/>
                <c:pt idx="0">
                  <c:v>33.333333333333329</c:v>
                </c:pt>
                <c:pt idx="1">
                  <c:v>30.555555555555557</c:v>
                </c:pt>
                <c:pt idx="2">
                  <c:v>25.862907146329604</c:v>
                </c:pt>
                <c:pt idx="3">
                  <c:v>30.260869565217391</c:v>
                </c:pt>
              </c:numCache>
            </c:numRef>
          </c:val>
          <c:extLst>
            <c:ext xmlns:c16="http://schemas.microsoft.com/office/drawing/2014/chart" uri="{C3380CC4-5D6E-409C-BE32-E72D297353CC}">
              <c16:uniqueId val="{00000002-9BC1-49AE-8ECB-6B906CDE91F3}"/>
            </c:ext>
          </c:extLst>
        </c:ser>
        <c:ser>
          <c:idx val="3"/>
          <c:order val="3"/>
          <c:tx>
            <c:strRef>
              <c:f>'Figura 1'!$B$20</c:f>
              <c:strCache>
                <c:ptCount val="1"/>
                <c:pt idx="0">
                  <c:v>Altri utenti</c:v>
                </c:pt>
              </c:strCache>
            </c:strRef>
          </c:tx>
          <c:spPr>
            <a:solidFill>
              <a:srgbClr val="A71433"/>
            </a:solidFill>
          </c:spPr>
          <c:invertIfNegative val="0"/>
          <c:cat>
            <c:strRef>
              <c:f>'Figura 1'!$C$16:$F$16</c:f>
              <c:strCache>
                <c:ptCount val="4"/>
                <c:pt idx="0">
                  <c:v>Basilicata 2010</c:v>
                </c:pt>
                <c:pt idx="1">
                  <c:v>Basilicata 2021</c:v>
                </c:pt>
                <c:pt idx="2">
                  <c:v>Italia 2010</c:v>
                </c:pt>
                <c:pt idx="3">
                  <c:v>Italia 2021</c:v>
                </c:pt>
              </c:strCache>
            </c:strRef>
          </c:cat>
          <c:val>
            <c:numRef>
              <c:f>'Figura 1'!$C$20:$F$20</c:f>
              <c:numCache>
                <c:formatCode>0.0</c:formatCode>
                <c:ptCount val="4"/>
                <c:pt idx="0">
                  <c:v>58.333333333333336</c:v>
                </c:pt>
                <c:pt idx="1">
                  <c:v>58.333333333333336</c:v>
                </c:pt>
                <c:pt idx="2">
                  <c:v>56.198347107438018</c:v>
                </c:pt>
                <c:pt idx="3">
                  <c:v>56.0695652173913</c:v>
                </c:pt>
              </c:numCache>
            </c:numRef>
          </c:val>
          <c:extLst>
            <c:ext xmlns:c16="http://schemas.microsoft.com/office/drawing/2014/chart" uri="{C3380CC4-5D6E-409C-BE32-E72D297353CC}">
              <c16:uniqueId val="{00000003-9BC1-49AE-8ECB-6B906CDE91F3}"/>
            </c:ext>
          </c:extLst>
        </c:ser>
        <c:dLbls>
          <c:showLegendKey val="0"/>
          <c:showVal val="0"/>
          <c:showCatName val="0"/>
          <c:showSerName val="0"/>
          <c:showPercent val="0"/>
          <c:showBubbleSize val="0"/>
        </c:dLbls>
        <c:gapWidth val="50"/>
        <c:overlap val="100"/>
        <c:axId val="290483808"/>
        <c:axId val="290484368"/>
      </c:barChart>
      <c:catAx>
        <c:axId val="290483808"/>
        <c:scaling>
          <c:orientation val="minMax"/>
        </c:scaling>
        <c:delete val="0"/>
        <c:axPos val="l"/>
        <c:numFmt formatCode="General" sourceLinked="1"/>
        <c:majorTickMark val="out"/>
        <c:minorTickMark val="none"/>
        <c:tickLblPos val="nextTo"/>
        <c:spPr>
          <a:noFill/>
          <a:extLst>
            <a:ext uri="{909E8E84-426E-40DD-AFC4-6F175D3DCCD1}">
              <a14:hiddenFill xmlns:a14="http://schemas.microsoft.com/office/drawing/2010/main">
                <a:noFill/>
              </a14:hiddenFill>
            </a:ext>
          </a:extLst>
        </c:spPr>
        <c:crossAx val="290484368"/>
        <c:crosses val="autoZero"/>
        <c:auto val="1"/>
        <c:lblAlgn val="ctr"/>
        <c:lblOffset val="100"/>
        <c:noMultiLvlLbl val="0"/>
      </c:catAx>
      <c:valAx>
        <c:axId val="290484368"/>
        <c:scaling>
          <c:orientation val="minMax"/>
          <c:max val="100"/>
        </c:scaling>
        <c:delete val="0"/>
        <c:axPos val="b"/>
        <c:numFmt formatCode="0%" sourceLinked="0"/>
        <c:majorTickMark val="out"/>
        <c:minorTickMark val="none"/>
        <c:tickLblPos val="nextTo"/>
        <c:spPr>
          <a:noFill/>
          <a:extLst>
            <a:ext uri="{909E8E84-426E-40DD-AFC4-6F175D3DCCD1}">
              <a14:hiddenFill xmlns:a14="http://schemas.microsoft.com/office/drawing/2010/main">
                <a:noFill/>
              </a14:hiddenFill>
            </a:ext>
          </a:extLst>
        </c:spPr>
        <c:crossAx val="290483808"/>
        <c:crosses val="autoZero"/>
        <c:crossBetween val="between"/>
        <c:dispUnits>
          <c:builtInUnit val="hundreds"/>
        </c:dispUnits>
      </c:valAx>
      <c:spPr>
        <a:noFill/>
        <a:extLst>
          <a:ext uri="{909E8E84-426E-40DD-AFC4-6F175D3DCCD1}">
            <a14:hiddenFill xmlns:a14="http://schemas.microsoft.com/office/drawing/2010/main">
              <a:solidFill>
                <a:sysClr val="window" lastClr="FFFFFF"/>
              </a:solidFill>
            </a14:hiddenFill>
          </a:ext>
        </a:extLst>
      </c:spPr>
    </c:plotArea>
    <c:legend>
      <c:legendPos val="r"/>
      <c:layout>
        <c:manualLayout>
          <c:xMode val="edge"/>
          <c:yMode val="edge"/>
          <c:x val="0.81435584562996599"/>
          <c:y val="0.19771479396483463"/>
          <c:w val="0.17724433676559662"/>
          <c:h val="0.66987052000953828"/>
        </c:manualLayout>
      </c:layout>
      <c:overlay val="0"/>
      <c:spPr>
        <a:noFill/>
      </c:spPr>
    </c:legend>
    <c:plotVisOnly val="1"/>
    <c:dispBlanksAs val="gap"/>
    <c:showDLblsOverMax val="0"/>
  </c:chart>
  <c:spPr>
    <a:noFill/>
    <a:ln>
      <a:noFill/>
    </a:ln>
  </c:spPr>
  <c:txPr>
    <a:bodyPr/>
    <a:lstStyle/>
    <a:p>
      <a:pPr>
        <a:defRPr lang="en-US" sz="800" b="0" i="0" u="none" strike="noStrike" kern="1200" baseline="0">
          <a:solidFill>
            <a:schemeClr val="tx1"/>
          </a:solidFill>
          <a:latin typeface="Arial Narrow" panose="020B0606020202030204" pitchFamily="34" charset="0"/>
          <a:ea typeface="+mn-ea"/>
          <a:cs typeface="Arial" panose="020B0604020202020204" pitchFamily="34" charset="0"/>
        </a:defRPr>
      </a:pPr>
      <a:endParaRPr lang="it-I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'Figura 10'!$B$4</c:f>
              <c:strCache>
                <c:ptCount val="1"/>
                <c:pt idx="0">
                  <c:v>Maschi</c:v>
                </c:pt>
              </c:strCache>
            </c:strRef>
          </c:tx>
          <c:spPr>
            <a:solidFill>
              <a:srgbClr val="A71433"/>
            </a:solidFill>
          </c:spPr>
          <c:invertIfNegative val="0"/>
          <c:cat>
            <c:strRef>
              <c:f>'Figura 10'!$A$5:$A$9</c:f>
              <c:strCache>
                <c:ptCount val="5"/>
                <c:pt idx="0">
                  <c:v>fino a 14</c:v>
                </c:pt>
                <c:pt idx="1">
                  <c:v>15-29</c:v>
                </c:pt>
                <c:pt idx="2">
                  <c:v>30-44</c:v>
                </c:pt>
                <c:pt idx="3">
                  <c:v>45-64</c:v>
                </c:pt>
                <c:pt idx="4">
                  <c:v>65 +</c:v>
                </c:pt>
              </c:strCache>
            </c:strRef>
          </c:cat>
          <c:val>
            <c:numRef>
              <c:f>'Figura 10'!$B$5:$B$9</c:f>
              <c:numCache>
                <c:formatCode>General</c:formatCode>
                <c:ptCount val="5"/>
                <c:pt idx="0">
                  <c:v>26</c:v>
                </c:pt>
                <c:pt idx="1">
                  <c:v>308</c:v>
                </c:pt>
                <c:pt idx="2">
                  <c:v>199</c:v>
                </c:pt>
                <c:pt idx="3">
                  <c:v>230</c:v>
                </c:pt>
                <c:pt idx="4">
                  <c:v>104</c:v>
                </c:pt>
              </c:numCache>
            </c:numRef>
          </c:val>
          <c:extLst>
            <c:ext xmlns:c16="http://schemas.microsoft.com/office/drawing/2014/chart" uri="{C3380CC4-5D6E-409C-BE32-E72D297353CC}">
              <c16:uniqueId val="{00000000-6F93-47E0-B1C9-5C133480FE94}"/>
            </c:ext>
          </c:extLst>
        </c:ser>
        <c:ser>
          <c:idx val="1"/>
          <c:order val="1"/>
          <c:tx>
            <c:strRef>
              <c:f>'Figura 10'!$C$4</c:f>
              <c:strCache>
                <c:ptCount val="1"/>
                <c:pt idx="0">
                  <c:v>Femmine</c:v>
                </c:pt>
              </c:strCache>
            </c:strRef>
          </c:tx>
          <c:spPr>
            <a:solidFill>
              <a:srgbClr val="BFBFBF"/>
            </a:solidFill>
          </c:spPr>
          <c:invertIfNegative val="0"/>
          <c:cat>
            <c:strRef>
              <c:f>'Figura 10'!$A$5:$A$9</c:f>
              <c:strCache>
                <c:ptCount val="5"/>
                <c:pt idx="0">
                  <c:v>fino a 14</c:v>
                </c:pt>
                <c:pt idx="1">
                  <c:v>15-29</c:v>
                </c:pt>
                <c:pt idx="2">
                  <c:v>30-44</c:v>
                </c:pt>
                <c:pt idx="3">
                  <c:v>45-64</c:v>
                </c:pt>
                <c:pt idx="4">
                  <c:v>65 +</c:v>
                </c:pt>
              </c:strCache>
            </c:strRef>
          </c:cat>
          <c:val>
            <c:numRef>
              <c:f>'Figura 10'!$C$5:$C$9</c:f>
              <c:numCache>
                <c:formatCode>General</c:formatCode>
                <c:ptCount val="5"/>
                <c:pt idx="0">
                  <c:v>21</c:v>
                </c:pt>
                <c:pt idx="1">
                  <c:v>140</c:v>
                </c:pt>
                <c:pt idx="2">
                  <c:v>119</c:v>
                </c:pt>
                <c:pt idx="3">
                  <c:v>140</c:v>
                </c:pt>
                <c:pt idx="4">
                  <c:v>38</c:v>
                </c:pt>
              </c:numCache>
            </c:numRef>
          </c:val>
          <c:extLst>
            <c:ext xmlns:c16="http://schemas.microsoft.com/office/drawing/2014/chart" uri="{C3380CC4-5D6E-409C-BE32-E72D297353CC}">
              <c16:uniqueId val="{00000001-6F93-47E0-B1C9-5C133480FE94}"/>
            </c:ext>
          </c:extLst>
        </c:ser>
        <c:dLbls>
          <c:showLegendKey val="0"/>
          <c:showVal val="0"/>
          <c:showCatName val="0"/>
          <c:showSerName val="0"/>
          <c:showPercent val="0"/>
          <c:showBubbleSize val="0"/>
        </c:dLbls>
        <c:gapWidth val="50"/>
        <c:overlap val="100"/>
        <c:axId val="224058912"/>
        <c:axId val="224059472"/>
      </c:barChart>
      <c:scatterChart>
        <c:scatterStyle val="lineMarker"/>
        <c:varyColors val="0"/>
        <c:ser>
          <c:idx val="2"/>
          <c:order val="2"/>
          <c:tx>
            <c:strRef>
              <c:f>'Figura 10'!$D$4</c:f>
              <c:strCache>
                <c:ptCount val="1"/>
                <c:pt idx="0">
                  <c:v>Tasso di lesività</c:v>
                </c:pt>
              </c:strCache>
            </c:strRef>
          </c:tx>
          <c:spPr>
            <a:ln w="19050">
              <a:noFill/>
            </a:ln>
          </c:spPr>
          <c:marker>
            <c:spPr>
              <a:solidFill>
                <a:srgbClr val="D99694"/>
              </a:solidFill>
              <a:ln>
                <a:solidFill>
                  <a:srgbClr val="D99694"/>
                </a:solidFill>
              </a:ln>
            </c:spPr>
          </c:marker>
          <c:dLbls>
            <c:dLbl>
              <c:idx val="0"/>
              <c:layout>
                <c:manualLayout>
                  <c:x val="-7.8722357065803661E-2"/>
                  <c:y val="-5.7150000000000117E-2"/>
                </c:manualLayout>
              </c:layout>
              <c:dLblPos val="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6F93-47E0-B1C9-5C133480FE94}"/>
                </c:ext>
              </c:extLst>
            </c:dLbl>
            <c:dLbl>
              <c:idx val="2"/>
              <c:layout>
                <c:manualLayout>
                  <c:x val="-7.3691680151024813E-2"/>
                  <c:y val="6.4718686868686814E-2"/>
                </c:manualLayout>
              </c:layout>
              <c:dLblPos val="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F93-47E0-B1C9-5C133480FE94}"/>
                </c:ext>
              </c:extLst>
            </c:dLbl>
            <c:dLbl>
              <c:idx val="3"/>
              <c:numFmt formatCode="#,##0.0" sourceLinked="0"/>
              <c:spPr>
                <a:noFill/>
                <a:ln>
                  <a:noFill/>
                </a:ln>
                <a:effectLst/>
              </c:spPr>
              <c:txPr>
                <a:bodyPr wrap="square" lIns="38100" tIns="19050" rIns="38100" bIns="19050" anchor="ctr">
                  <a:spAutoFit/>
                </a:bodyPr>
                <a:lstStyle/>
                <a:p>
                  <a:pPr>
                    <a:defRPr b="1">
                      <a:solidFill>
                        <a:schemeClr val="bg1"/>
                      </a:solidFill>
                    </a:defRPr>
                  </a:pPr>
                  <a:endParaRPr lang="it-IT"/>
                </a:p>
              </c:txPr>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93-47E0-B1C9-5C133480FE94}"/>
                </c:ext>
              </c:extLst>
            </c:dLbl>
            <c:dLbl>
              <c:idx val="4"/>
              <c:numFmt formatCode="#,##0.0" sourceLinked="0"/>
              <c:spPr>
                <a:noFill/>
                <a:ln>
                  <a:noFill/>
                </a:ln>
                <a:effectLst/>
              </c:spPr>
              <c:txPr>
                <a:bodyPr wrap="square" lIns="38100" tIns="19050" rIns="38100" bIns="19050" anchor="ctr">
                  <a:spAutoFit/>
                </a:bodyPr>
                <a:lstStyle/>
                <a:p>
                  <a:pPr>
                    <a:defRPr b="1">
                      <a:solidFill>
                        <a:schemeClr val="bg1"/>
                      </a:solidFill>
                    </a:defRPr>
                  </a:pPr>
                  <a:endParaRPr lang="it-IT"/>
                </a:p>
              </c:txPr>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93-47E0-B1C9-5C133480FE94}"/>
                </c:ext>
              </c:extLst>
            </c:dLbl>
            <c:numFmt formatCode="#,##0.0" sourceLinked="0"/>
            <c:spPr>
              <a:noFill/>
              <a:ln>
                <a:noFill/>
              </a:ln>
              <a:effectLst/>
            </c:spPr>
            <c:txPr>
              <a:bodyPr wrap="square" lIns="38100" tIns="19050" rIns="38100" bIns="19050" anchor="ctr">
                <a:spAutoFit/>
              </a:bodyPr>
              <a:lstStyle/>
              <a:p>
                <a:pPr>
                  <a:defRPr b="1"/>
                </a:pPr>
                <a:endParaRPr lang="it-IT"/>
              </a:p>
            </c:txPr>
            <c:dLblPos val="b"/>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ext>
            </c:extLst>
          </c:dLbls>
          <c:xVal>
            <c:strRef>
              <c:f>'Figura 10'!$A$5:$A$9</c:f>
              <c:strCache>
                <c:ptCount val="5"/>
                <c:pt idx="0">
                  <c:v>fino a 14</c:v>
                </c:pt>
                <c:pt idx="1">
                  <c:v>15-29</c:v>
                </c:pt>
                <c:pt idx="2">
                  <c:v>30-44</c:v>
                </c:pt>
                <c:pt idx="3">
                  <c:v>45-64</c:v>
                </c:pt>
                <c:pt idx="4">
                  <c:v>65 +</c:v>
                </c:pt>
              </c:strCache>
            </c:strRef>
          </c:xVal>
          <c:yVal>
            <c:numRef>
              <c:f>'Figura 10'!$D$5:$D$9</c:f>
              <c:numCache>
                <c:formatCode>0.0</c:formatCode>
                <c:ptCount val="5"/>
                <c:pt idx="0">
                  <c:v>72.088743637264898</c:v>
                </c:pt>
                <c:pt idx="1">
                  <c:v>528.40824789958003</c:v>
                </c:pt>
                <c:pt idx="2">
                  <c:v>325.688616616763</c:v>
                </c:pt>
                <c:pt idx="3">
                  <c:v>226.57011883384999</c:v>
                </c:pt>
                <c:pt idx="4">
                  <c:v>108.535072111112</c:v>
                </c:pt>
              </c:numCache>
            </c:numRef>
          </c:yVal>
          <c:smooth val="0"/>
          <c:extLst>
            <c:ext xmlns:c16="http://schemas.microsoft.com/office/drawing/2014/chart" uri="{C3380CC4-5D6E-409C-BE32-E72D297353CC}">
              <c16:uniqueId val="{00000006-6F93-47E0-B1C9-5C133480FE94}"/>
            </c:ext>
          </c:extLst>
        </c:ser>
        <c:dLbls>
          <c:showLegendKey val="0"/>
          <c:showVal val="0"/>
          <c:showCatName val="0"/>
          <c:showSerName val="0"/>
          <c:showPercent val="0"/>
          <c:showBubbleSize val="0"/>
        </c:dLbls>
        <c:axId val="224060592"/>
        <c:axId val="224060032"/>
      </c:scatterChart>
      <c:catAx>
        <c:axId val="224058912"/>
        <c:scaling>
          <c:orientation val="minMax"/>
        </c:scaling>
        <c:delete val="0"/>
        <c:axPos val="b"/>
        <c:numFmt formatCode="General" sourceLinked="0"/>
        <c:majorTickMark val="out"/>
        <c:minorTickMark val="none"/>
        <c:tickLblPos val="nextTo"/>
        <c:crossAx val="224059472"/>
        <c:crosses val="autoZero"/>
        <c:auto val="1"/>
        <c:lblAlgn val="ctr"/>
        <c:lblOffset val="100"/>
        <c:noMultiLvlLbl val="0"/>
      </c:catAx>
      <c:valAx>
        <c:axId val="224059472"/>
        <c:scaling>
          <c:orientation val="minMax"/>
        </c:scaling>
        <c:delete val="0"/>
        <c:axPos val="l"/>
        <c:numFmt formatCode="_-* #,##0_-;\-* #,##0_-;_-* &quot;-&quot;??_-;_-@_-" sourceLinked="0"/>
        <c:majorTickMark val="out"/>
        <c:minorTickMark val="none"/>
        <c:tickLblPos val="nextTo"/>
        <c:crossAx val="224058912"/>
        <c:crosses val="autoZero"/>
        <c:crossBetween val="between"/>
      </c:valAx>
      <c:valAx>
        <c:axId val="224060032"/>
        <c:scaling>
          <c:orientation val="minMax"/>
        </c:scaling>
        <c:delete val="0"/>
        <c:axPos val="r"/>
        <c:numFmt formatCode="0" sourceLinked="0"/>
        <c:majorTickMark val="out"/>
        <c:minorTickMark val="none"/>
        <c:tickLblPos val="nextTo"/>
        <c:crossAx val="224060592"/>
        <c:crosses val="max"/>
        <c:crossBetween val="midCat"/>
      </c:valAx>
      <c:valAx>
        <c:axId val="224060592"/>
        <c:scaling>
          <c:orientation val="minMax"/>
        </c:scaling>
        <c:delete val="1"/>
        <c:axPos val="t"/>
        <c:majorTickMark val="out"/>
        <c:minorTickMark val="none"/>
        <c:tickLblPos val="nextTo"/>
        <c:crossAx val="224060032"/>
        <c:crosses val="max"/>
        <c:crossBetween val="midCat"/>
      </c:valAx>
    </c:plotArea>
    <c:legend>
      <c:legendPos val="b"/>
      <c:overlay val="0"/>
    </c:legend>
    <c:plotVisOnly val="1"/>
    <c:dispBlanksAs val="gap"/>
    <c:showDLblsOverMax val="0"/>
  </c:chart>
  <c:spPr>
    <a:ln>
      <a:noFill/>
    </a:ln>
  </c:spPr>
  <c:txPr>
    <a:bodyPr/>
    <a:lstStyle/>
    <a:p>
      <a:pPr>
        <a:defRPr sz="800">
          <a:latin typeface="Arial Narrow" panose="020B0606020202030204" pitchFamily="34" charset="0"/>
        </a:defRPr>
      </a:pPr>
      <a:endParaRPr lang="it-I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744423138826166"/>
          <c:y val="8.771929824561403E-2"/>
          <c:w val="0.84109789992715489"/>
          <c:h val="0.66990560390477505"/>
        </c:manualLayout>
      </c:layout>
      <c:barChart>
        <c:barDir val="bar"/>
        <c:grouping val="stacked"/>
        <c:varyColors val="0"/>
        <c:ser>
          <c:idx val="0"/>
          <c:order val="0"/>
          <c:tx>
            <c:strRef>
              <c:f>'Figura 11'!$B$5</c:f>
              <c:strCache>
                <c:ptCount val="1"/>
                <c:pt idx="0">
                  <c:v>Conducente</c:v>
                </c:pt>
              </c:strCache>
            </c:strRef>
          </c:tx>
          <c:spPr>
            <a:solidFill>
              <a:srgbClr val="A71433"/>
            </a:solidFill>
          </c:spPr>
          <c:invertIfNegative val="0"/>
          <c:cat>
            <c:strRef>
              <c:f>'Figura 11'!$A$6:$A$10</c:f>
              <c:strCache>
                <c:ptCount val="5"/>
                <c:pt idx="0">
                  <c:v>fino a 14</c:v>
                </c:pt>
                <c:pt idx="1">
                  <c:v>15-29</c:v>
                </c:pt>
                <c:pt idx="2">
                  <c:v>30-44</c:v>
                </c:pt>
                <c:pt idx="3">
                  <c:v>45-64</c:v>
                </c:pt>
                <c:pt idx="4">
                  <c:v>65 +</c:v>
                </c:pt>
              </c:strCache>
            </c:strRef>
          </c:cat>
          <c:val>
            <c:numRef>
              <c:f>'Figura 11'!$B$6:$B$10</c:f>
              <c:numCache>
                <c:formatCode>General</c:formatCode>
                <c:ptCount val="5"/>
                <c:pt idx="0">
                  <c:v>-6</c:v>
                </c:pt>
                <c:pt idx="1">
                  <c:v>-224</c:v>
                </c:pt>
                <c:pt idx="2">
                  <c:v>-159</c:v>
                </c:pt>
                <c:pt idx="3">
                  <c:v>-201</c:v>
                </c:pt>
                <c:pt idx="4">
                  <c:v>-81</c:v>
                </c:pt>
              </c:numCache>
            </c:numRef>
          </c:val>
          <c:extLst>
            <c:ext xmlns:c16="http://schemas.microsoft.com/office/drawing/2014/chart" uri="{C3380CC4-5D6E-409C-BE32-E72D297353CC}">
              <c16:uniqueId val="{00000000-61C3-4974-A7FC-80AB74A2B24E}"/>
            </c:ext>
          </c:extLst>
        </c:ser>
        <c:ser>
          <c:idx val="1"/>
          <c:order val="1"/>
          <c:tx>
            <c:strRef>
              <c:f>'Figura 11'!$C$5</c:f>
              <c:strCache>
                <c:ptCount val="1"/>
                <c:pt idx="0">
                  <c:v>Passeggero</c:v>
                </c:pt>
              </c:strCache>
            </c:strRef>
          </c:tx>
          <c:spPr>
            <a:solidFill>
              <a:srgbClr val="D99694"/>
            </a:solidFill>
          </c:spPr>
          <c:invertIfNegative val="0"/>
          <c:cat>
            <c:strRef>
              <c:f>'Figura 11'!$A$6:$A$10</c:f>
              <c:strCache>
                <c:ptCount val="5"/>
                <c:pt idx="0">
                  <c:v>fino a 14</c:v>
                </c:pt>
                <c:pt idx="1">
                  <c:v>15-29</c:v>
                </c:pt>
                <c:pt idx="2">
                  <c:v>30-44</c:v>
                </c:pt>
                <c:pt idx="3">
                  <c:v>45-64</c:v>
                </c:pt>
                <c:pt idx="4">
                  <c:v>65 +</c:v>
                </c:pt>
              </c:strCache>
            </c:strRef>
          </c:cat>
          <c:val>
            <c:numRef>
              <c:f>'Figura 11'!$C$6:$C$10</c:f>
              <c:numCache>
                <c:formatCode>General</c:formatCode>
                <c:ptCount val="5"/>
                <c:pt idx="0">
                  <c:v>-13</c:v>
                </c:pt>
                <c:pt idx="1">
                  <c:v>-75</c:v>
                </c:pt>
                <c:pt idx="2">
                  <c:v>-30</c:v>
                </c:pt>
                <c:pt idx="3">
                  <c:v>-19</c:v>
                </c:pt>
                <c:pt idx="4">
                  <c:v>-9</c:v>
                </c:pt>
              </c:numCache>
            </c:numRef>
          </c:val>
          <c:extLst>
            <c:ext xmlns:c16="http://schemas.microsoft.com/office/drawing/2014/chart" uri="{C3380CC4-5D6E-409C-BE32-E72D297353CC}">
              <c16:uniqueId val="{00000001-61C3-4974-A7FC-80AB74A2B24E}"/>
            </c:ext>
          </c:extLst>
        </c:ser>
        <c:ser>
          <c:idx val="2"/>
          <c:order val="2"/>
          <c:tx>
            <c:strRef>
              <c:f>'Figura 11'!$D$5</c:f>
              <c:strCache>
                <c:ptCount val="1"/>
                <c:pt idx="0">
                  <c:v>Pedone</c:v>
                </c:pt>
              </c:strCache>
            </c:strRef>
          </c:tx>
          <c:spPr>
            <a:solidFill>
              <a:srgbClr val="BFBFBF"/>
            </a:solidFill>
          </c:spPr>
          <c:invertIfNegative val="0"/>
          <c:cat>
            <c:strRef>
              <c:f>'Figura 11'!$A$6:$A$10</c:f>
              <c:strCache>
                <c:ptCount val="5"/>
                <c:pt idx="0">
                  <c:v>fino a 14</c:v>
                </c:pt>
                <c:pt idx="1">
                  <c:v>15-29</c:v>
                </c:pt>
                <c:pt idx="2">
                  <c:v>30-44</c:v>
                </c:pt>
                <c:pt idx="3">
                  <c:v>45-64</c:v>
                </c:pt>
                <c:pt idx="4">
                  <c:v>65 +</c:v>
                </c:pt>
              </c:strCache>
            </c:strRef>
          </c:cat>
          <c:val>
            <c:numRef>
              <c:f>'Figura 11'!$D$6:$D$10</c:f>
              <c:numCache>
                <c:formatCode>General</c:formatCode>
                <c:ptCount val="5"/>
                <c:pt idx="0">
                  <c:v>-7</c:v>
                </c:pt>
                <c:pt idx="1">
                  <c:v>-9</c:v>
                </c:pt>
                <c:pt idx="2">
                  <c:v>-10</c:v>
                </c:pt>
                <c:pt idx="3">
                  <c:v>-10</c:v>
                </c:pt>
                <c:pt idx="4">
                  <c:v>-14</c:v>
                </c:pt>
              </c:numCache>
            </c:numRef>
          </c:val>
          <c:extLst>
            <c:ext xmlns:c16="http://schemas.microsoft.com/office/drawing/2014/chart" uri="{C3380CC4-5D6E-409C-BE32-E72D297353CC}">
              <c16:uniqueId val="{00000002-61C3-4974-A7FC-80AB74A2B24E}"/>
            </c:ext>
          </c:extLst>
        </c:ser>
        <c:ser>
          <c:idx val="3"/>
          <c:order val="3"/>
          <c:tx>
            <c:strRef>
              <c:f>'Figura 11'!$E$5</c:f>
              <c:strCache>
                <c:ptCount val="1"/>
                <c:pt idx="0">
                  <c:v>Conducente</c:v>
                </c:pt>
              </c:strCache>
            </c:strRef>
          </c:tx>
          <c:spPr>
            <a:solidFill>
              <a:srgbClr val="A71433"/>
            </a:solidFill>
          </c:spPr>
          <c:invertIfNegative val="0"/>
          <c:cat>
            <c:strRef>
              <c:f>'Figura 11'!$A$6:$A$10</c:f>
              <c:strCache>
                <c:ptCount val="5"/>
                <c:pt idx="0">
                  <c:v>fino a 14</c:v>
                </c:pt>
                <c:pt idx="1">
                  <c:v>15-29</c:v>
                </c:pt>
                <c:pt idx="2">
                  <c:v>30-44</c:v>
                </c:pt>
                <c:pt idx="3">
                  <c:v>45-64</c:v>
                </c:pt>
                <c:pt idx="4">
                  <c:v>65 +</c:v>
                </c:pt>
              </c:strCache>
            </c:strRef>
          </c:cat>
          <c:val>
            <c:numRef>
              <c:f>'Figura 11'!$E$6:$E$10</c:f>
              <c:numCache>
                <c:formatCode>General</c:formatCode>
                <c:ptCount val="5"/>
                <c:pt idx="0">
                  <c:v>0</c:v>
                </c:pt>
                <c:pt idx="1">
                  <c:v>62</c:v>
                </c:pt>
                <c:pt idx="2">
                  <c:v>69</c:v>
                </c:pt>
                <c:pt idx="3">
                  <c:v>81</c:v>
                </c:pt>
                <c:pt idx="4">
                  <c:v>12</c:v>
                </c:pt>
              </c:numCache>
            </c:numRef>
          </c:val>
          <c:extLst>
            <c:ext xmlns:c16="http://schemas.microsoft.com/office/drawing/2014/chart" uri="{C3380CC4-5D6E-409C-BE32-E72D297353CC}">
              <c16:uniqueId val="{00000003-61C3-4974-A7FC-80AB74A2B24E}"/>
            </c:ext>
          </c:extLst>
        </c:ser>
        <c:ser>
          <c:idx val="4"/>
          <c:order val="4"/>
          <c:tx>
            <c:strRef>
              <c:f>'Figura 11'!$F$5</c:f>
              <c:strCache>
                <c:ptCount val="1"/>
                <c:pt idx="0">
                  <c:v>Passeggero</c:v>
                </c:pt>
              </c:strCache>
            </c:strRef>
          </c:tx>
          <c:spPr>
            <a:solidFill>
              <a:srgbClr val="D99694"/>
            </a:solidFill>
          </c:spPr>
          <c:invertIfNegative val="0"/>
          <c:cat>
            <c:strRef>
              <c:f>'Figura 11'!$A$6:$A$10</c:f>
              <c:strCache>
                <c:ptCount val="5"/>
                <c:pt idx="0">
                  <c:v>fino a 14</c:v>
                </c:pt>
                <c:pt idx="1">
                  <c:v>15-29</c:v>
                </c:pt>
                <c:pt idx="2">
                  <c:v>30-44</c:v>
                </c:pt>
                <c:pt idx="3">
                  <c:v>45-64</c:v>
                </c:pt>
                <c:pt idx="4">
                  <c:v>65 +</c:v>
                </c:pt>
              </c:strCache>
            </c:strRef>
          </c:cat>
          <c:val>
            <c:numRef>
              <c:f>'Figura 11'!$F$6:$F$10</c:f>
              <c:numCache>
                <c:formatCode>General</c:formatCode>
                <c:ptCount val="5"/>
                <c:pt idx="0">
                  <c:v>15</c:v>
                </c:pt>
                <c:pt idx="1">
                  <c:v>71</c:v>
                </c:pt>
                <c:pt idx="2">
                  <c:v>42</c:v>
                </c:pt>
                <c:pt idx="3">
                  <c:v>45</c:v>
                </c:pt>
                <c:pt idx="4">
                  <c:v>16</c:v>
                </c:pt>
              </c:numCache>
            </c:numRef>
          </c:val>
          <c:extLst>
            <c:ext xmlns:c16="http://schemas.microsoft.com/office/drawing/2014/chart" uri="{C3380CC4-5D6E-409C-BE32-E72D297353CC}">
              <c16:uniqueId val="{00000004-61C3-4974-A7FC-80AB74A2B24E}"/>
            </c:ext>
          </c:extLst>
        </c:ser>
        <c:ser>
          <c:idx val="5"/>
          <c:order val="5"/>
          <c:tx>
            <c:strRef>
              <c:f>'Figura 11'!$G$5</c:f>
              <c:strCache>
                <c:ptCount val="1"/>
                <c:pt idx="0">
                  <c:v>Pedone</c:v>
                </c:pt>
              </c:strCache>
            </c:strRef>
          </c:tx>
          <c:spPr>
            <a:solidFill>
              <a:srgbClr val="BFBFBF"/>
            </a:solidFill>
          </c:spPr>
          <c:invertIfNegative val="0"/>
          <c:cat>
            <c:strRef>
              <c:f>'Figura 11'!$A$6:$A$10</c:f>
              <c:strCache>
                <c:ptCount val="5"/>
                <c:pt idx="0">
                  <c:v>fino a 14</c:v>
                </c:pt>
                <c:pt idx="1">
                  <c:v>15-29</c:v>
                </c:pt>
                <c:pt idx="2">
                  <c:v>30-44</c:v>
                </c:pt>
                <c:pt idx="3">
                  <c:v>45-64</c:v>
                </c:pt>
                <c:pt idx="4">
                  <c:v>65 +</c:v>
                </c:pt>
              </c:strCache>
            </c:strRef>
          </c:cat>
          <c:val>
            <c:numRef>
              <c:f>'Figura 11'!$G$6:$G$10</c:f>
              <c:numCache>
                <c:formatCode>General</c:formatCode>
                <c:ptCount val="5"/>
                <c:pt idx="0">
                  <c:v>6</c:v>
                </c:pt>
                <c:pt idx="1">
                  <c:v>7</c:v>
                </c:pt>
                <c:pt idx="2">
                  <c:v>8</c:v>
                </c:pt>
                <c:pt idx="3">
                  <c:v>14</c:v>
                </c:pt>
                <c:pt idx="4">
                  <c:v>10</c:v>
                </c:pt>
              </c:numCache>
            </c:numRef>
          </c:val>
          <c:extLst>
            <c:ext xmlns:c16="http://schemas.microsoft.com/office/drawing/2014/chart" uri="{C3380CC4-5D6E-409C-BE32-E72D297353CC}">
              <c16:uniqueId val="{00000005-61C3-4974-A7FC-80AB74A2B24E}"/>
            </c:ext>
          </c:extLst>
        </c:ser>
        <c:dLbls>
          <c:showLegendKey val="0"/>
          <c:showVal val="0"/>
          <c:showCatName val="0"/>
          <c:showSerName val="0"/>
          <c:showPercent val="0"/>
          <c:showBubbleSize val="0"/>
        </c:dLbls>
        <c:gapWidth val="50"/>
        <c:overlap val="100"/>
        <c:axId val="292714976"/>
        <c:axId val="292715536"/>
      </c:barChart>
      <c:catAx>
        <c:axId val="292714976"/>
        <c:scaling>
          <c:orientation val="minMax"/>
        </c:scaling>
        <c:delete val="0"/>
        <c:axPos val="l"/>
        <c:numFmt formatCode="General" sourceLinked="0"/>
        <c:majorTickMark val="out"/>
        <c:minorTickMark val="none"/>
        <c:tickLblPos val="low"/>
        <c:crossAx val="292715536"/>
        <c:crosses val="autoZero"/>
        <c:auto val="1"/>
        <c:lblAlgn val="ctr"/>
        <c:lblOffset val="100"/>
        <c:noMultiLvlLbl val="0"/>
      </c:catAx>
      <c:valAx>
        <c:axId val="292715536"/>
        <c:scaling>
          <c:orientation val="minMax"/>
        </c:scaling>
        <c:delete val="0"/>
        <c:axPos val="b"/>
        <c:numFmt formatCode="#,##0;[Black]#,##0" sourceLinked="0"/>
        <c:majorTickMark val="out"/>
        <c:minorTickMark val="none"/>
        <c:tickLblPos val="nextTo"/>
        <c:crossAx val="292714976"/>
        <c:crossesAt val="1"/>
        <c:crossBetween val="between"/>
      </c:valAx>
    </c:plotArea>
    <c:legend>
      <c:legendPos val="b"/>
      <c:legendEntry>
        <c:idx val="3"/>
        <c:delete val="1"/>
      </c:legendEntry>
      <c:legendEntry>
        <c:idx val="4"/>
        <c:delete val="1"/>
      </c:legendEntry>
      <c:legendEntry>
        <c:idx val="5"/>
        <c:delete val="1"/>
      </c:legendEntry>
      <c:overlay val="0"/>
    </c:legend>
    <c:plotVisOnly val="1"/>
    <c:dispBlanksAs val="gap"/>
    <c:showDLblsOverMax val="0"/>
  </c:chart>
  <c:spPr>
    <a:ln>
      <a:noFill/>
    </a:ln>
  </c:spPr>
  <c:txPr>
    <a:bodyPr/>
    <a:lstStyle/>
    <a:p>
      <a:pPr>
        <a:defRPr sz="800">
          <a:latin typeface="Arial Narrow" panose="020B0606020202030204" pitchFamily="34" charset="0"/>
          <a:cs typeface="Arial" panose="020B0604020202020204" pitchFamily="34" charset="0"/>
        </a:defRPr>
      </a:pPr>
      <a:endParaRPr lang="it-IT"/>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798952795353209"/>
          <c:y val="7.059372841552701E-2"/>
          <c:w val="0.58307132046916388"/>
          <c:h val="0.7779138888888889"/>
        </c:manualLayout>
      </c:layout>
      <c:barChart>
        <c:barDir val="bar"/>
        <c:grouping val="stacked"/>
        <c:varyColors val="0"/>
        <c:ser>
          <c:idx val="0"/>
          <c:order val="0"/>
          <c:tx>
            <c:strRef>
              <c:f>'Figura 1'!$I$17</c:f>
              <c:strCache>
                <c:ptCount val="1"/>
                <c:pt idx="0">
                  <c:v>Conducenti e passeggeri di ciclomotori</c:v>
                </c:pt>
              </c:strCache>
            </c:strRef>
          </c:tx>
          <c:spPr>
            <a:solidFill>
              <a:srgbClr val="4E6228"/>
            </a:solidFill>
          </c:spPr>
          <c:invertIfNegative val="0"/>
          <c:cat>
            <c:strRef>
              <c:f>'Figura 1'!$J$16:$M$16</c:f>
              <c:strCache>
                <c:ptCount val="4"/>
                <c:pt idx="0">
                  <c:v>Basilicata 2010</c:v>
                </c:pt>
                <c:pt idx="1">
                  <c:v>Basilicata 2021</c:v>
                </c:pt>
                <c:pt idx="2">
                  <c:v>Italia 2010</c:v>
                </c:pt>
                <c:pt idx="3">
                  <c:v>Italia 2021</c:v>
                </c:pt>
              </c:strCache>
            </c:strRef>
          </c:cat>
          <c:val>
            <c:numRef>
              <c:f>'Figura 1'!$J$17:$M$17</c:f>
              <c:numCache>
                <c:formatCode>0.0</c:formatCode>
                <c:ptCount val="4"/>
                <c:pt idx="0">
                  <c:v>6.25</c:v>
                </c:pt>
                <c:pt idx="1">
                  <c:v>2.7777777777777777</c:v>
                </c:pt>
                <c:pt idx="2">
                  <c:v>5.0072921730675741</c:v>
                </c:pt>
                <c:pt idx="3">
                  <c:v>2.3304347826086955</c:v>
                </c:pt>
              </c:numCache>
            </c:numRef>
          </c:val>
          <c:extLst>
            <c:ext xmlns:c16="http://schemas.microsoft.com/office/drawing/2014/chart" uri="{C3380CC4-5D6E-409C-BE32-E72D297353CC}">
              <c16:uniqueId val="{00000000-0A6E-4D7A-879C-0706CBAA2B0E}"/>
            </c:ext>
          </c:extLst>
        </c:ser>
        <c:ser>
          <c:idx val="1"/>
          <c:order val="1"/>
          <c:tx>
            <c:strRef>
              <c:f>'Figura 1'!$I$18</c:f>
              <c:strCache>
                <c:ptCount val="1"/>
                <c:pt idx="0">
                  <c:v>Conducenti e passeggeri di motocicli</c:v>
                </c:pt>
              </c:strCache>
            </c:strRef>
          </c:tx>
          <c:spPr>
            <a:solidFill>
              <a:srgbClr val="7F7F7F"/>
            </a:solidFill>
          </c:spPr>
          <c:invertIfNegative val="0"/>
          <c:cat>
            <c:strRef>
              <c:f>'Figura 1'!$J$16:$M$16</c:f>
              <c:strCache>
                <c:ptCount val="4"/>
                <c:pt idx="0">
                  <c:v>Basilicata 2010</c:v>
                </c:pt>
                <c:pt idx="1">
                  <c:v>Basilicata 2021</c:v>
                </c:pt>
                <c:pt idx="2">
                  <c:v>Italia 2010</c:v>
                </c:pt>
                <c:pt idx="3">
                  <c:v>Italia 2021</c:v>
                </c:pt>
              </c:strCache>
            </c:strRef>
          </c:cat>
          <c:val>
            <c:numRef>
              <c:f>'Figura 1'!$J$18:$M$18</c:f>
              <c:numCache>
                <c:formatCode>0.0</c:formatCode>
                <c:ptCount val="4"/>
                <c:pt idx="0">
                  <c:v>12.5</c:v>
                </c:pt>
                <c:pt idx="1">
                  <c:v>13.888888888888889</c:v>
                </c:pt>
                <c:pt idx="2">
                  <c:v>23.091881380651433</c:v>
                </c:pt>
                <c:pt idx="3">
                  <c:v>24.173913043478258</c:v>
                </c:pt>
              </c:numCache>
            </c:numRef>
          </c:val>
          <c:extLst>
            <c:ext xmlns:c16="http://schemas.microsoft.com/office/drawing/2014/chart" uri="{C3380CC4-5D6E-409C-BE32-E72D297353CC}">
              <c16:uniqueId val="{00000001-0A6E-4D7A-879C-0706CBAA2B0E}"/>
            </c:ext>
          </c:extLst>
        </c:ser>
        <c:ser>
          <c:idx val="2"/>
          <c:order val="2"/>
          <c:tx>
            <c:strRef>
              <c:f>'Figura 1'!$I$19</c:f>
              <c:strCache>
                <c:ptCount val="1"/>
                <c:pt idx="0">
                  <c:v>Conducenti e passeggeri di velocipedi</c:v>
                </c:pt>
              </c:strCache>
            </c:strRef>
          </c:tx>
          <c:spPr>
            <a:solidFill>
              <a:srgbClr val="BFBFBF"/>
            </a:solidFill>
          </c:spPr>
          <c:invertIfNegative val="0"/>
          <c:cat>
            <c:strRef>
              <c:f>'Figura 1'!$J$16:$M$16</c:f>
              <c:strCache>
                <c:ptCount val="4"/>
                <c:pt idx="0">
                  <c:v>Basilicata 2010</c:v>
                </c:pt>
                <c:pt idx="1">
                  <c:v>Basilicata 2021</c:v>
                </c:pt>
                <c:pt idx="2">
                  <c:v>Italia 2010</c:v>
                </c:pt>
                <c:pt idx="3">
                  <c:v>Italia 2021</c:v>
                </c:pt>
              </c:strCache>
            </c:strRef>
          </c:cat>
          <c:val>
            <c:numRef>
              <c:f>'Figura 1'!$J$19:$M$19</c:f>
              <c:numCache>
                <c:formatCode>0.0</c:formatCode>
                <c:ptCount val="4"/>
                <c:pt idx="0">
                  <c:v>2.083333333333333</c:v>
                </c:pt>
                <c:pt idx="1">
                  <c:v>2.7777777777777777</c:v>
                </c:pt>
                <c:pt idx="2">
                  <c:v>6.4414195430238212</c:v>
                </c:pt>
                <c:pt idx="3">
                  <c:v>7.965217391304348</c:v>
                </c:pt>
              </c:numCache>
            </c:numRef>
          </c:val>
          <c:extLst>
            <c:ext xmlns:c16="http://schemas.microsoft.com/office/drawing/2014/chart" uri="{C3380CC4-5D6E-409C-BE32-E72D297353CC}">
              <c16:uniqueId val="{00000002-0A6E-4D7A-879C-0706CBAA2B0E}"/>
            </c:ext>
          </c:extLst>
        </c:ser>
        <c:ser>
          <c:idx val="3"/>
          <c:order val="3"/>
          <c:tx>
            <c:strRef>
              <c:f>'Figura 1'!$I$20</c:f>
              <c:strCache>
                <c:ptCount val="1"/>
                <c:pt idx="0">
                  <c:v>Pedone</c:v>
                </c:pt>
              </c:strCache>
            </c:strRef>
          </c:tx>
          <c:spPr>
            <a:solidFill>
              <a:srgbClr val="D99694"/>
            </a:solidFill>
          </c:spPr>
          <c:invertIfNegative val="0"/>
          <c:cat>
            <c:strRef>
              <c:f>'Figura 1'!$J$16:$M$16</c:f>
              <c:strCache>
                <c:ptCount val="4"/>
                <c:pt idx="0">
                  <c:v>Basilicata 2010</c:v>
                </c:pt>
                <c:pt idx="1">
                  <c:v>Basilicata 2021</c:v>
                </c:pt>
                <c:pt idx="2">
                  <c:v>Italia 2010</c:v>
                </c:pt>
                <c:pt idx="3">
                  <c:v>Italia 2021</c:v>
                </c:pt>
              </c:strCache>
            </c:strRef>
          </c:cat>
          <c:val>
            <c:numRef>
              <c:f>'Figura 1'!$J$20:$M$20</c:f>
              <c:numCache>
                <c:formatCode>0.0</c:formatCode>
                <c:ptCount val="4"/>
                <c:pt idx="0">
                  <c:v>10.416666666666668</c:v>
                </c:pt>
                <c:pt idx="1">
                  <c:v>13.888888888888889</c:v>
                </c:pt>
                <c:pt idx="2">
                  <c:v>15.094798249878464</c:v>
                </c:pt>
                <c:pt idx="3">
                  <c:v>16.382608695652173</c:v>
                </c:pt>
              </c:numCache>
            </c:numRef>
          </c:val>
          <c:extLst>
            <c:ext xmlns:c16="http://schemas.microsoft.com/office/drawing/2014/chart" uri="{C3380CC4-5D6E-409C-BE32-E72D297353CC}">
              <c16:uniqueId val="{00000003-0A6E-4D7A-879C-0706CBAA2B0E}"/>
            </c:ext>
          </c:extLst>
        </c:ser>
        <c:ser>
          <c:idx val="4"/>
          <c:order val="4"/>
          <c:tx>
            <c:strRef>
              <c:f>'Figura 1'!$I$21</c:f>
              <c:strCache>
                <c:ptCount val="1"/>
                <c:pt idx="0">
                  <c:v>Altri Utenti</c:v>
                </c:pt>
              </c:strCache>
            </c:strRef>
          </c:tx>
          <c:spPr>
            <a:solidFill>
              <a:srgbClr val="A71433"/>
            </a:solidFill>
          </c:spPr>
          <c:invertIfNegative val="0"/>
          <c:cat>
            <c:strRef>
              <c:f>'Figura 1'!$J$16:$M$16</c:f>
              <c:strCache>
                <c:ptCount val="4"/>
                <c:pt idx="0">
                  <c:v>Basilicata 2010</c:v>
                </c:pt>
                <c:pt idx="1">
                  <c:v>Basilicata 2021</c:v>
                </c:pt>
                <c:pt idx="2">
                  <c:v>Italia 2010</c:v>
                </c:pt>
                <c:pt idx="3">
                  <c:v>Italia 2021</c:v>
                </c:pt>
              </c:strCache>
            </c:strRef>
          </c:cat>
          <c:val>
            <c:numRef>
              <c:f>'Figura 1'!$J$21:$M$21</c:f>
              <c:numCache>
                <c:formatCode>0.0</c:formatCode>
                <c:ptCount val="4"/>
                <c:pt idx="0">
                  <c:v>68.75</c:v>
                </c:pt>
                <c:pt idx="1">
                  <c:v>66.666666666666657</c:v>
                </c:pt>
                <c:pt idx="2">
                  <c:v>50.36460865337871</c:v>
                </c:pt>
                <c:pt idx="3">
                  <c:v>49.14782608695652</c:v>
                </c:pt>
              </c:numCache>
            </c:numRef>
          </c:val>
          <c:extLst>
            <c:ext xmlns:c16="http://schemas.microsoft.com/office/drawing/2014/chart" uri="{C3380CC4-5D6E-409C-BE32-E72D297353CC}">
              <c16:uniqueId val="{00000004-0A6E-4D7A-879C-0706CBAA2B0E}"/>
            </c:ext>
          </c:extLst>
        </c:ser>
        <c:dLbls>
          <c:showLegendKey val="0"/>
          <c:showVal val="0"/>
          <c:showCatName val="0"/>
          <c:showSerName val="0"/>
          <c:showPercent val="0"/>
          <c:showBubbleSize val="0"/>
        </c:dLbls>
        <c:gapWidth val="50"/>
        <c:overlap val="100"/>
        <c:axId val="286400320"/>
        <c:axId val="286400880"/>
      </c:barChart>
      <c:catAx>
        <c:axId val="286400320"/>
        <c:scaling>
          <c:orientation val="minMax"/>
        </c:scaling>
        <c:delete val="0"/>
        <c:axPos val="l"/>
        <c:numFmt formatCode="General" sourceLinked="0"/>
        <c:majorTickMark val="out"/>
        <c:minorTickMark val="none"/>
        <c:tickLblPos val="nextTo"/>
        <c:spPr>
          <a:noFill/>
          <a:extLst>
            <a:ext uri="{909E8E84-426E-40DD-AFC4-6F175D3DCCD1}">
              <a14:hiddenFill xmlns:a14="http://schemas.microsoft.com/office/drawing/2010/main">
                <a:noFill/>
              </a14:hiddenFill>
            </a:ext>
          </a:extLst>
        </c:spPr>
        <c:crossAx val="286400880"/>
        <c:crosses val="autoZero"/>
        <c:auto val="1"/>
        <c:lblAlgn val="ctr"/>
        <c:lblOffset val="100"/>
        <c:noMultiLvlLbl val="0"/>
      </c:catAx>
      <c:valAx>
        <c:axId val="286400880"/>
        <c:scaling>
          <c:orientation val="minMax"/>
          <c:max val="100"/>
        </c:scaling>
        <c:delete val="0"/>
        <c:axPos val="b"/>
        <c:numFmt formatCode="0%" sourceLinked="0"/>
        <c:majorTickMark val="out"/>
        <c:minorTickMark val="none"/>
        <c:tickLblPos val="nextTo"/>
        <c:spPr>
          <a:noFill/>
          <a:extLst>
            <a:ext uri="{909E8E84-426E-40DD-AFC4-6F175D3DCCD1}">
              <a14:hiddenFill xmlns:a14="http://schemas.microsoft.com/office/drawing/2010/main">
                <a:noFill/>
              </a14:hiddenFill>
            </a:ext>
          </a:extLst>
        </c:spPr>
        <c:crossAx val="286400320"/>
        <c:crosses val="autoZero"/>
        <c:crossBetween val="between"/>
        <c:majorUnit val="20"/>
        <c:dispUnits>
          <c:builtInUnit val="hundreds"/>
        </c:dispUnits>
      </c:valAx>
      <c:spPr>
        <a:noFill/>
        <a:extLst>
          <a:ext uri="{909E8E84-426E-40DD-AFC4-6F175D3DCCD1}">
            <a14:hiddenFill xmlns:a14="http://schemas.microsoft.com/office/drawing/2010/main">
              <a:solidFill>
                <a:sysClr val="window" lastClr="FFFFFF"/>
              </a:solidFill>
            </a14:hiddenFill>
          </a:ext>
        </a:extLst>
      </c:spPr>
    </c:plotArea>
    <c:legend>
      <c:legendPos val="r"/>
      <c:layout>
        <c:manualLayout>
          <c:xMode val="edge"/>
          <c:yMode val="edge"/>
          <c:x val="0.78828509269769198"/>
          <c:y val="9.8049818320902662E-2"/>
          <c:w val="0.1962050699962164"/>
          <c:h val="0.77259510982179858"/>
        </c:manualLayout>
      </c:layout>
      <c:overlay val="0"/>
      <c:spPr>
        <a:noFill/>
      </c:spPr>
      <c:txPr>
        <a:bodyPr/>
        <a:lstStyle/>
        <a:p>
          <a:pPr>
            <a:defRPr sz="700" i="0"/>
          </a:pPr>
          <a:endParaRPr lang="it-IT"/>
        </a:p>
      </c:txPr>
    </c:legend>
    <c:plotVisOnly val="1"/>
    <c:dispBlanksAs val="gap"/>
    <c:showDLblsOverMax val="0"/>
  </c:chart>
  <c:spPr>
    <a:noFill/>
    <a:ln>
      <a:noFill/>
    </a:ln>
  </c:spPr>
  <c:txPr>
    <a:bodyPr/>
    <a:lstStyle/>
    <a:p>
      <a:pPr>
        <a:defRPr sz="800">
          <a:latin typeface="Arial Narrow" panose="020B0606020202030204" pitchFamily="34" charset="0"/>
          <a:cs typeface="Arial" panose="020B0604020202020204" pitchFamily="34" charset="0"/>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title>
      <c:tx>
        <c:strRef>
          <c:f>'Figura 4'!$B$21</c:f>
          <c:strCache>
            <c:ptCount val="1"/>
            <c:pt idx="0">
              <c:v>Strade Urbane</c:v>
            </c:pt>
          </c:strCache>
        </c:strRef>
      </c:tx>
      <c:layout>
        <c:manualLayout>
          <c:xMode val="edge"/>
          <c:yMode val="edge"/>
          <c:x val="2.6227124425554599E-2"/>
          <c:y val="8.1701936011978615E-3"/>
        </c:manualLayout>
      </c:layout>
      <c:overlay val="0"/>
      <c:txPr>
        <a:bodyPr/>
        <a:lstStyle/>
        <a:p>
          <a:pPr>
            <a:defRPr/>
          </a:pPr>
          <a:endParaRPr lang="it-IT"/>
        </a:p>
      </c:txPr>
    </c:title>
    <c:autoTitleDeleted val="0"/>
    <c:plotArea>
      <c:layout>
        <c:manualLayout>
          <c:layoutTarget val="inner"/>
          <c:xMode val="edge"/>
          <c:yMode val="edge"/>
          <c:x val="0.24327766350298849"/>
          <c:y val="0.15600368621888816"/>
          <c:w val="0.46354257246376812"/>
          <c:h val="0.80587535923782527"/>
        </c:manualLayout>
      </c:layout>
      <c:doughnutChart>
        <c:varyColors val="1"/>
        <c:ser>
          <c:idx val="0"/>
          <c:order val="0"/>
          <c:tx>
            <c:strRef>
              <c:f>'Figura 4'!$B$21</c:f>
              <c:strCache>
                <c:ptCount val="1"/>
                <c:pt idx="0">
                  <c:v>Strade Urbane</c:v>
                </c:pt>
              </c:strCache>
            </c:strRef>
          </c:tx>
          <c:spPr>
            <a:solidFill>
              <a:srgbClr val="4E6228"/>
            </a:solidFill>
            <a:ln>
              <a:noFill/>
            </a:ln>
          </c:spPr>
          <c:dPt>
            <c:idx val="0"/>
            <c:bubble3D val="0"/>
            <c:spPr>
              <a:solidFill>
                <a:srgbClr val="D99694"/>
              </a:solidFill>
              <a:ln>
                <a:noFill/>
              </a:ln>
            </c:spPr>
            <c:extLst>
              <c:ext xmlns:c16="http://schemas.microsoft.com/office/drawing/2014/chart" uri="{C3380CC4-5D6E-409C-BE32-E72D297353CC}">
                <c16:uniqueId val="{00000001-2C33-4803-9874-5C5C1721D696}"/>
              </c:ext>
            </c:extLst>
          </c:dPt>
          <c:dPt>
            <c:idx val="1"/>
            <c:bubble3D val="0"/>
            <c:spPr>
              <a:solidFill>
                <a:srgbClr val="948A54"/>
              </a:solidFill>
              <a:ln>
                <a:noFill/>
              </a:ln>
            </c:spPr>
            <c:extLst>
              <c:ext xmlns:c16="http://schemas.microsoft.com/office/drawing/2014/chart" uri="{C3380CC4-5D6E-409C-BE32-E72D297353CC}">
                <c16:uniqueId val="{00000003-2C33-4803-9874-5C5C1721D696}"/>
              </c:ext>
            </c:extLst>
          </c:dPt>
          <c:dPt>
            <c:idx val="3"/>
            <c:bubble3D val="0"/>
            <c:spPr>
              <a:solidFill>
                <a:srgbClr val="A71433"/>
              </a:solidFill>
              <a:ln>
                <a:noFill/>
              </a:ln>
            </c:spPr>
            <c:extLst>
              <c:ext xmlns:c16="http://schemas.microsoft.com/office/drawing/2014/chart" uri="{C3380CC4-5D6E-409C-BE32-E72D297353CC}">
                <c16:uniqueId val="{00000005-2C33-4803-9874-5C5C1721D696}"/>
              </c:ext>
            </c:extLst>
          </c:dPt>
          <c:dPt>
            <c:idx val="4"/>
            <c:bubble3D val="0"/>
            <c:spPr>
              <a:solidFill>
                <a:srgbClr val="BFBFBF"/>
              </a:solidFill>
              <a:ln>
                <a:noFill/>
              </a:ln>
            </c:spPr>
            <c:extLst>
              <c:ext xmlns:c16="http://schemas.microsoft.com/office/drawing/2014/chart" uri="{C3380CC4-5D6E-409C-BE32-E72D297353CC}">
                <c16:uniqueId val="{00000007-2C33-4803-9874-5C5C1721D696}"/>
              </c:ext>
            </c:extLst>
          </c:dPt>
          <c:dPt>
            <c:idx val="5"/>
            <c:bubble3D val="0"/>
            <c:spPr>
              <a:solidFill>
                <a:srgbClr val="7F7F7F"/>
              </a:solidFill>
              <a:ln>
                <a:noFill/>
              </a:ln>
            </c:spPr>
            <c:extLst>
              <c:ext xmlns:c16="http://schemas.microsoft.com/office/drawing/2014/chart" uri="{C3380CC4-5D6E-409C-BE32-E72D297353CC}">
                <c16:uniqueId val="{00000009-2C33-4803-9874-5C5C1721D696}"/>
              </c:ext>
            </c:extLst>
          </c:dPt>
          <c:dLbls>
            <c:dLbl>
              <c:idx val="0"/>
              <c:layout>
                <c:manualLayout>
                  <c:x val="0.12653985507246376"/>
                  <c:y val="-0.1214149139579350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2C33-4803-9874-5C5C1721D696}"/>
                </c:ext>
              </c:extLst>
            </c:dLbl>
            <c:dLbl>
              <c:idx val="1"/>
              <c:layout>
                <c:manualLayout>
                  <c:x val="0.13037439613526555"/>
                  <c:y val="-6.070745697896752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2C33-4803-9874-5C5C1721D696}"/>
                </c:ext>
              </c:extLst>
            </c:dLbl>
            <c:dLbl>
              <c:idx val="2"/>
              <c:layout>
                <c:manualLayout>
                  <c:x val="0.16488526570048309"/>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2C33-4803-9874-5C5C1721D696}"/>
                </c:ext>
              </c:extLst>
            </c:dLbl>
            <c:dLbl>
              <c:idx val="3"/>
              <c:layout>
                <c:manualLayout>
                  <c:x val="-0.20685008486455231"/>
                  <c:y val="-9.3902754100333799E-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2C33-4803-9874-5C5C1721D696}"/>
                </c:ext>
              </c:extLst>
            </c:dLbl>
            <c:dLbl>
              <c:idx val="4"/>
              <c:layout>
                <c:manualLayout>
                  <c:x val="-0.21062570733704158"/>
                  <c:y val="-8.76887753116527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2C33-4803-9874-5C5C1721D696}"/>
                </c:ext>
              </c:extLst>
            </c:dLbl>
            <c:dLbl>
              <c:idx val="5"/>
              <c:layout>
                <c:manualLayout>
                  <c:x val="-5.3636013388234725E-2"/>
                  <c:y val="-0.1884009391742012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2C33-4803-9874-5C5C1721D696}"/>
                </c:ext>
              </c:extLst>
            </c:dLbl>
            <c:numFmt formatCode="#,##0.0" sourceLinked="0"/>
            <c:spPr>
              <a:noFill/>
              <a:ln>
                <a:noFill/>
              </a:ln>
              <a:effectLst/>
            </c:spPr>
            <c:txPr>
              <a:bodyPr/>
              <a:lstStyle/>
              <a:p>
                <a:pPr>
                  <a:defRPr sz="700"/>
                </a:pPr>
                <a:endParaRPr lang="it-IT"/>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'Figura 4'!$C$20:$H$20</c:f>
              <c:strCache>
                <c:ptCount val="6"/>
                <c:pt idx="0">
                  <c:v>Incrocio</c:v>
                </c:pt>
                <c:pt idx="1">
                  <c:v>Rotatoria</c:v>
                </c:pt>
                <c:pt idx="2">
                  <c:v>Intersezione</c:v>
                </c:pt>
                <c:pt idx="3">
                  <c:v>Rettilineo</c:v>
                </c:pt>
                <c:pt idx="4">
                  <c:v>Curva</c:v>
                </c:pt>
                <c:pt idx="5">
                  <c:v>Altro</c:v>
                </c:pt>
              </c:strCache>
            </c:strRef>
          </c:cat>
          <c:val>
            <c:numRef>
              <c:f>'Figura 4'!$C$21:$H$21</c:f>
              <c:numCache>
                <c:formatCode>0.0</c:formatCode>
                <c:ptCount val="6"/>
                <c:pt idx="0">
                  <c:v>19.38</c:v>
                </c:pt>
                <c:pt idx="1">
                  <c:v>6.01</c:v>
                </c:pt>
                <c:pt idx="2">
                  <c:v>11.63</c:v>
                </c:pt>
                <c:pt idx="3">
                  <c:v>44.38</c:v>
                </c:pt>
                <c:pt idx="4">
                  <c:v>12.4</c:v>
                </c:pt>
                <c:pt idx="5">
                  <c:v>6.2</c:v>
                </c:pt>
              </c:numCache>
            </c:numRef>
          </c:val>
          <c:extLst>
            <c:ext xmlns:c16="http://schemas.microsoft.com/office/drawing/2014/chart" uri="{C3380CC4-5D6E-409C-BE32-E72D297353CC}">
              <c16:uniqueId val="{0000000B-2C33-4803-9874-5C5C1721D696}"/>
            </c:ext>
          </c:extLst>
        </c:ser>
        <c:dLbls>
          <c:showLegendKey val="0"/>
          <c:showVal val="1"/>
          <c:showCatName val="0"/>
          <c:showSerName val="0"/>
          <c:showPercent val="0"/>
          <c:showBubbleSize val="0"/>
          <c:showLeaderLines val="1"/>
        </c:dLbls>
        <c:firstSliceAng val="340"/>
        <c:holeSize val="50"/>
      </c:doughnutChart>
      <c:spPr>
        <a:noFill/>
      </c:spPr>
    </c:plotArea>
    <c:plotVisOnly val="1"/>
    <c:dispBlanksAs val="gap"/>
    <c:showDLblsOverMax val="0"/>
  </c:chart>
  <c:spPr>
    <a:noFill/>
    <a:ln>
      <a:noFill/>
    </a:ln>
  </c:spPr>
  <c:txPr>
    <a:bodyPr/>
    <a:lstStyle/>
    <a:p>
      <a:pPr>
        <a:defRPr sz="800">
          <a:latin typeface="Arial Narrow" panose="020B0606020202030204" pitchFamily="34" charset="0"/>
        </a:defRPr>
      </a:pPr>
      <a:endParaRPr lang="it-I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title>
      <c:tx>
        <c:strRef>
          <c:f>'Figura 4'!$L$21</c:f>
          <c:strCache>
            <c:ptCount val="1"/>
            <c:pt idx="0">
              <c:v>Strade Extraurbane</c:v>
            </c:pt>
          </c:strCache>
        </c:strRef>
      </c:tx>
      <c:layout>
        <c:manualLayout>
          <c:xMode val="edge"/>
          <c:yMode val="edge"/>
          <c:x val="2.2372000093366973E-2"/>
          <c:y val="1.4955140446141863E-2"/>
        </c:manualLayout>
      </c:layout>
      <c:overlay val="0"/>
      <c:txPr>
        <a:bodyPr/>
        <a:lstStyle/>
        <a:p>
          <a:pPr>
            <a:defRPr/>
          </a:pPr>
          <a:endParaRPr lang="it-IT"/>
        </a:p>
      </c:txPr>
    </c:title>
    <c:autoTitleDeleted val="0"/>
    <c:plotArea>
      <c:layout>
        <c:manualLayout>
          <c:layoutTarget val="inner"/>
          <c:xMode val="edge"/>
          <c:yMode val="edge"/>
          <c:x val="0.3743176256814052"/>
          <c:y val="0.13526552704228034"/>
          <c:w val="0.47995283666464778"/>
          <c:h val="0.80821073531611665"/>
        </c:manualLayout>
      </c:layout>
      <c:doughnutChart>
        <c:varyColors val="1"/>
        <c:ser>
          <c:idx val="0"/>
          <c:order val="0"/>
          <c:spPr>
            <a:ln>
              <a:noFill/>
            </a:ln>
          </c:spPr>
          <c:dPt>
            <c:idx val="0"/>
            <c:bubble3D val="0"/>
            <c:spPr>
              <a:solidFill>
                <a:srgbClr val="D99694"/>
              </a:solidFill>
              <a:ln>
                <a:noFill/>
              </a:ln>
            </c:spPr>
            <c:extLst>
              <c:ext xmlns:c16="http://schemas.microsoft.com/office/drawing/2014/chart" uri="{C3380CC4-5D6E-409C-BE32-E72D297353CC}">
                <c16:uniqueId val="{00000001-D750-4AC9-A2E2-E077D6909C66}"/>
              </c:ext>
            </c:extLst>
          </c:dPt>
          <c:dPt>
            <c:idx val="1"/>
            <c:bubble3D val="0"/>
            <c:spPr>
              <a:solidFill>
                <a:srgbClr val="948A54"/>
              </a:solidFill>
              <a:ln>
                <a:noFill/>
              </a:ln>
            </c:spPr>
            <c:extLst>
              <c:ext xmlns:c16="http://schemas.microsoft.com/office/drawing/2014/chart" uri="{C3380CC4-5D6E-409C-BE32-E72D297353CC}">
                <c16:uniqueId val="{00000003-D750-4AC9-A2E2-E077D6909C66}"/>
              </c:ext>
            </c:extLst>
          </c:dPt>
          <c:dPt>
            <c:idx val="2"/>
            <c:bubble3D val="0"/>
            <c:spPr>
              <a:solidFill>
                <a:srgbClr val="4E6228"/>
              </a:solidFill>
              <a:ln>
                <a:noFill/>
              </a:ln>
            </c:spPr>
            <c:extLst>
              <c:ext xmlns:c16="http://schemas.microsoft.com/office/drawing/2014/chart" uri="{C3380CC4-5D6E-409C-BE32-E72D297353CC}">
                <c16:uniqueId val="{00000005-D750-4AC9-A2E2-E077D6909C66}"/>
              </c:ext>
            </c:extLst>
          </c:dPt>
          <c:dPt>
            <c:idx val="3"/>
            <c:bubble3D val="0"/>
            <c:spPr>
              <a:solidFill>
                <a:srgbClr val="A71433"/>
              </a:solidFill>
              <a:ln>
                <a:noFill/>
              </a:ln>
            </c:spPr>
            <c:extLst>
              <c:ext xmlns:c16="http://schemas.microsoft.com/office/drawing/2014/chart" uri="{C3380CC4-5D6E-409C-BE32-E72D297353CC}">
                <c16:uniqueId val="{00000007-D750-4AC9-A2E2-E077D6909C66}"/>
              </c:ext>
            </c:extLst>
          </c:dPt>
          <c:dPt>
            <c:idx val="4"/>
            <c:bubble3D val="0"/>
            <c:spPr>
              <a:solidFill>
                <a:srgbClr val="BFBFBF"/>
              </a:solidFill>
              <a:ln>
                <a:noFill/>
              </a:ln>
            </c:spPr>
            <c:extLst>
              <c:ext xmlns:c16="http://schemas.microsoft.com/office/drawing/2014/chart" uri="{C3380CC4-5D6E-409C-BE32-E72D297353CC}">
                <c16:uniqueId val="{00000009-D750-4AC9-A2E2-E077D6909C66}"/>
              </c:ext>
            </c:extLst>
          </c:dPt>
          <c:dPt>
            <c:idx val="5"/>
            <c:bubble3D val="0"/>
            <c:spPr>
              <a:solidFill>
                <a:srgbClr val="7F7F7F"/>
              </a:solidFill>
              <a:ln>
                <a:noFill/>
              </a:ln>
            </c:spPr>
            <c:extLst>
              <c:ext xmlns:c16="http://schemas.microsoft.com/office/drawing/2014/chart" uri="{C3380CC4-5D6E-409C-BE32-E72D297353CC}">
                <c16:uniqueId val="{0000000B-D750-4AC9-A2E2-E077D6909C66}"/>
              </c:ext>
            </c:extLst>
          </c:dPt>
          <c:dLbls>
            <c:dLbl>
              <c:idx val="0"/>
              <c:layout>
                <c:manualLayout>
                  <c:x val="-2.4805653139511483E-2"/>
                  <c:y val="-0.1880130009655528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D750-4AC9-A2E2-E077D6909C66}"/>
                </c:ext>
              </c:extLst>
            </c:dLbl>
            <c:dLbl>
              <c:idx val="1"/>
              <c:delete val="1"/>
              <c:extLst>
                <c:ext xmlns:c15="http://schemas.microsoft.com/office/drawing/2012/chart" uri="{CE6537A1-D6FC-4f65-9D91-7224C49458BB}"/>
                <c:ext xmlns:c16="http://schemas.microsoft.com/office/drawing/2014/chart" uri="{C3380CC4-5D6E-409C-BE32-E72D297353CC}">
                  <c16:uniqueId val="{00000003-D750-4AC9-A2E2-E077D6909C66}"/>
                </c:ext>
              </c:extLst>
            </c:dLbl>
            <c:dLbl>
              <c:idx val="2"/>
              <c:layout>
                <c:manualLayout>
                  <c:x val="0.28303444377145165"/>
                  <c:y val="-0.16737736798444236"/>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5284086412275386"/>
                      <c:h val="0.13174438687392057"/>
                    </c:manualLayout>
                  </c15:layout>
                </c:ext>
                <c:ext xmlns:c16="http://schemas.microsoft.com/office/drawing/2014/chart" uri="{C3380CC4-5D6E-409C-BE32-E72D297353CC}">
                  <c16:uniqueId val="{00000005-D750-4AC9-A2E2-E077D6909C66}"/>
                </c:ext>
              </c:extLst>
            </c:dLbl>
            <c:dLbl>
              <c:idx val="3"/>
              <c:layout>
                <c:manualLayout>
                  <c:x val="0.12312601031899499"/>
                  <c:y val="6.6015212607969352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D750-4AC9-A2E2-E077D6909C66}"/>
                </c:ext>
              </c:extLst>
            </c:dLbl>
            <c:dLbl>
              <c:idx val="4"/>
              <c:layout>
                <c:manualLayout>
                  <c:x val="-0.12659991578046936"/>
                  <c:y val="5.396197835636674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D750-4AC9-A2E2-E077D6909C66}"/>
                </c:ext>
              </c:extLst>
            </c:dLbl>
            <c:dLbl>
              <c:idx val="5"/>
              <c:layout>
                <c:manualLayout>
                  <c:x val="-0.14956845347602576"/>
                  <c:y val="-0.1461052346997397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D750-4AC9-A2E2-E077D6909C66}"/>
                </c:ext>
              </c:extLst>
            </c:dLbl>
            <c:numFmt formatCode="#,##0.0" sourceLinked="0"/>
            <c:spPr>
              <a:noFill/>
              <a:ln>
                <a:noFill/>
              </a:ln>
              <a:effectLst/>
            </c:spPr>
            <c:txPr>
              <a:bodyPr/>
              <a:lstStyle/>
              <a:p>
                <a:pPr>
                  <a:defRPr sz="700"/>
                </a:pPr>
                <a:endParaRPr lang="it-IT"/>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'Figura 4'!$M$20:$R$20</c:f>
              <c:strCache>
                <c:ptCount val="6"/>
                <c:pt idx="0">
                  <c:v>Incrocio</c:v>
                </c:pt>
                <c:pt idx="1">
                  <c:v>Rotatoria</c:v>
                </c:pt>
                <c:pt idx="2">
                  <c:v>Intersezione</c:v>
                </c:pt>
                <c:pt idx="3">
                  <c:v>Rettilineo</c:v>
                </c:pt>
                <c:pt idx="4">
                  <c:v>Curva</c:v>
                </c:pt>
                <c:pt idx="5">
                  <c:v>Altro</c:v>
                </c:pt>
              </c:strCache>
            </c:strRef>
          </c:cat>
          <c:val>
            <c:numRef>
              <c:f>'Figura 4'!$M$21:$R$21</c:f>
              <c:numCache>
                <c:formatCode>0.0</c:formatCode>
                <c:ptCount val="6"/>
                <c:pt idx="0">
                  <c:v>2.99</c:v>
                </c:pt>
                <c:pt idx="1">
                  <c:v>0</c:v>
                </c:pt>
                <c:pt idx="2">
                  <c:v>5.97</c:v>
                </c:pt>
                <c:pt idx="3">
                  <c:v>47.51</c:v>
                </c:pt>
                <c:pt idx="4">
                  <c:v>38.31</c:v>
                </c:pt>
                <c:pt idx="5">
                  <c:v>5.22</c:v>
                </c:pt>
              </c:numCache>
            </c:numRef>
          </c:val>
          <c:extLst>
            <c:ext xmlns:c16="http://schemas.microsoft.com/office/drawing/2014/chart" uri="{C3380CC4-5D6E-409C-BE32-E72D297353CC}">
              <c16:uniqueId val="{0000000C-D750-4AC9-A2E2-E077D6909C66}"/>
            </c:ext>
          </c:extLst>
        </c:ser>
        <c:dLbls>
          <c:showLegendKey val="0"/>
          <c:showVal val="1"/>
          <c:showCatName val="0"/>
          <c:showSerName val="0"/>
          <c:showPercent val="0"/>
          <c:showBubbleSize val="0"/>
          <c:showLeaderLines val="1"/>
        </c:dLbls>
        <c:firstSliceAng val="335"/>
        <c:holeSize val="50"/>
      </c:doughnutChart>
      <c:spPr>
        <a:noFill/>
      </c:spPr>
    </c:plotArea>
    <c:plotVisOnly val="1"/>
    <c:dispBlanksAs val="gap"/>
    <c:showDLblsOverMax val="0"/>
  </c:chart>
  <c:spPr>
    <a:noFill/>
    <a:ln>
      <a:noFill/>
    </a:ln>
  </c:spPr>
  <c:txPr>
    <a:bodyPr/>
    <a:lstStyle/>
    <a:p>
      <a:pPr>
        <a:defRPr sz="800">
          <a:latin typeface="Arial Narrow" panose="020B0606020202030204" pitchFamily="34" charset="0"/>
        </a:defRPr>
      </a:pPr>
      <a:endParaRPr lang="it-I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70925925925926"/>
          <c:y val="7.3080142289181832E-2"/>
          <c:w val="0.79361481481481477"/>
          <c:h val="0.5542294413057125"/>
        </c:manualLayout>
      </c:layout>
      <c:lineChart>
        <c:grouping val="standard"/>
        <c:varyColors val="0"/>
        <c:ser>
          <c:idx val="0"/>
          <c:order val="0"/>
          <c:tx>
            <c:strRef>
              <c:f>'Figura 5'!$E$4</c:f>
              <c:strCache>
                <c:ptCount val="1"/>
                <c:pt idx="0">
                  <c:v>Incidenti</c:v>
                </c:pt>
              </c:strCache>
            </c:strRef>
          </c:tx>
          <c:spPr>
            <a:ln>
              <a:solidFill>
                <a:srgbClr val="7F7F7F"/>
              </a:solidFill>
              <a:prstDash val="sysDash"/>
            </a:ln>
          </c:spPr>
          <c:marker>
            <c:symbol val="none"/>
          </c:marker>
          <c:cat>
            <c:strRef>
              <c:f>'Figura 5'!$A$5:$A$16</c:f>
              <c:strCache>
                <c:ptCount val="12"/>
                <c:pt idx="0">
                  <c:v>Gennaio</c:v>
                </c:pt>
                <c:pt idx="1">
                  <c:v>Febbraio</c:v>
                </c:pt>
                <c:pt idx="2">
                  <c:v>Marzo</c:v>
                </c:pt>
                <c:pt idx="3">
                  <c:v>Aprile</c:v>
                </c:pt>
                <c:pt idx="4">
                  <c:v>Maggio</c:v>
                </c:pt>
                <c:pt idx="5">
                  <c:v>Giugno</c:v>
                </c:pt>
                <c:pt idx="6">
                  <c:v>Luglio</c:v>
                </c:pt>
                <c:pt idx="7">
                  <c:v>Agosto</c:v>
                </c:pt>
                <c:pt idx="8">
                  <c:v>Settembre</c:v>
                </c:pt>
                <c:pt idx="9">
                  <c:v>Ottobre</c:v>
                </c:pt>
                <c:pt idx="10">
                  <c:v>Novembre</c:v>
                </c:pt>
                <c:pt idx="11">
                  <c:v>Dicembre</c:v>
                </c:pt>
              </c:strCache>
            </c:strRef>
          </c:cat>
          <c:val>
            <c:numRef>
              <c:f>'Figura 5'!$E$5:$E$16</c:f>
              <c:numCache>
                <c:formatCode>0.0</c:formatCode>
                <c:ptCount val="12"/>
                <c:pt idx="0">
                  <c:v>6.7538</c:v>
                </c:pt>
                <c:pt idx="1">
                  <c:v>5.0109000000000004</c:v>
                </c:pt>
                <c:pt idx="2">
                  <c:v>4.4661999999999997</c:v>
                </c:pt>
                <c:pt idx="3">
                  <c:v>6.2092000000000001</c:v>
                </c:pt>
                <c:pt idx="4">
                  <c:v>10.130699999999999</c:v>
                </c:pt>
                <c:pt idx="5">
                  <c:v>8.4967000000000006</c:v>
                </c:pt>
                <c:pt idx="6">
                  <c:v>11.9826</c:v>
                </c:pt>
                <c:pt idx="7">
                  <c:v>11.655799999999999</c:v>
                </c:pt>
                <c:pt idx="8">
                  <c:v>7.7342000000000004</c:v>
                </c:pt>
                <c:pt idx="9">
                  <c:v>8.6057000000000006</c:v>
                </c:pt>
                <c:pt idx="10">
                  <c:v>10.8932</c:v>
                </c:pt>
                <c:pt idx="11">
                  <c:v>8.0609999999999999</c:v>
                </c:pt>
              </c:numCache>
            </c:numRef>
          </c:val>
          <c:smooth val="0"/>
          <c:extLst>
            <c:ext xmlns:c16="http://schemas.microsoft.com/office/drawing/2014/chart" uri="{C3380CC4-5D6E-409C-BE32-E72D297353CC}">
              <c16:uniqueId val="{00000000-7448-472A-8CA6-DA811D7638DA}"/>
            </c:ext>
          </c:extLst>
        </c:ser>
        <c:ser>
          <c:idx val="1"/>
          <c:order val="1"/>
          <c:tx>
            <c:strRef>
              <c:f>'Figura 5'!$F$4</c:f>
              <c:strCache>
                <c:ptCount val="1"/>
                <c:pt idx="0">
                  <c:v>Morti</c:v>
                </c:pt>
              </c:strCache>
            </c:strRef>
          </c:tx>
          <c:marker>
            <c:symbol val="none"/>
          </c:marker>
          <c:cat>
            <c:strRef>
              <c:f>'Figura 5'!$A$5:$A$16</c:f>
              <c:strCache>
                <c:ptCount val="12"/>
                <c:pt idx="0">
                  <c:v>Gennaio</c:v>
                </c:pt>
                <c:pt idx="1">
                  <c:v>Febbraio</c:v>
                </c:pt>
                <c:pt idx="2">
                  <c:v>Marzo</c:v>
                </c:pt>
                <c:pt idx="3">
                  <c:v>Aprile</c:v>
                </c:pt>
                <c:pt idx="4">
                  <c:v>Maggio</c:v>
                </c:pt>
                <c:pt idx="5">
                  <c:v>Giugno</c:v>
                </c:pt>
                <c:pt idx="6">
                  <c:v>Luglio</c:v>
                </c:pt>
                <c:pt idx="7">
                  <c:v>Agosto</c:v>
                </c:pt>
                <c:pt idx="8">
                  <c:v>Settembre</c:v>
                </c:pt>
                <c:pt idx="9">
                  <c:v>Ottobre</c:v>
                </c:pt>
                <c:pt idx="10">
                  <c:v>Novembre</c:v>
                </c:pt>
                <c:pt idx="11">
                  <c:v>Dicembre</c:v>
                </c:pt>
              </c:strCache>
            </c:strRef>
          </c:cat>
          <c:val>
            <c:numRef>
              <c:f>'Figura 5'!$F$5:$F$16</c:f>
              <c:numCache>
                <c:formatCode>0.0</c:formatCode>
                <c:ptCount val="12"/>
                <c:pt idx="0">
                  <c:v>8.3332999999999995</c:v>
                </c:pt>
                <c:pt idx="1">
                  <c:v>5.5556000000000001</c:v>
                </c:pt>
                <c:pt idx="2">
                  <c:v>2.7778</c:v>
                </c:pt>
                <c:pt idx="3">
                  <c:v>8.3332999999999995</c:v>
                </c:pt>
                <c:pt idx="4">
                  <c:v>8.3332999999999995</c:v>
                </c:pt>
                <c:pt idx="5">
                  <c:v>5.5556000000000001</c:v>
                </c:pt>
                <c:pt idx="6">
                  <c:v>16.666699999999999</c:v>
                </c:pt>
                <c:pt idx="7">
                  <c:v>11.1111</c:v>
                </c:pt>
                <c:pt idx="8">
                  <c:v>5.5556000000000001</c:v>
                </c:pt>
                <c:pt idx="9">
                  <c:v>5.5556000000000001</c:v>
                </c:pt>
                <c:pt idx="10">
                  <c:v>13.8889</c:v>
                </c:pt>
                <c:pt idx="11">
                  <c:v>8.3332999999999995</c:v>
                </c:pt>
              </c:numCache>
            </c:numRef>
          </c:val>
          <c:smooth val="0"/>
          <c:extLst>
            <c:ext xmlns:c16="http://schemas.microsoft.com/office/drawing/2014/chart" uri="{C3380CC4-5D6E-409C-BE32-E72D297353CC}">
              <c16:uniqueId val="{00000001-7448-472A-8CA6-DA811D7638DA}"/>
            </c:ext>
          </c:extLst>
        </c:ser>
        <c:ser>
          <c:idx val="2"/>
          <c:order val="2"/>
          <c:tx>
            <c:strRef>
              <c:f>'Figura 5'!$G$4</c:f>
              <c:strCache>
                <c:ptCount val="1"/>
                <c:pt idx="0">
                  <c:v>Feriti</c:v>
                </c:pt>
              </c:strCache>
            </c:strRef>
          </c:tx>
          <c:marker>
            <c:symbol val="none"/>
          </c:marker>
          <c:cat>
            <c:strRef>
              <c:f>'Figura 5'!$A$5:$A$16</c:f>
              <c:strCache>
                <c:ptCount val="12"/>
                <c:pt idx="0">
                  <c:v>Gennaio</c:v>
                </c:pt>
                <c:pt idx="1">
                  <c:v>Febbraio</c:v>
                </c:pt>
                <c:pt idx="2">
                  <c:v>Marzo</c:v>
                </c:pt>
                <c:pt idx="3">
                  <c:v>Aprile</c:v>
                </c:pt>
                <c:pt idx="4">
                  <c:v>Maggio</c:v>
                </c:pt>
                <c:pt idx="5">
                  <c:v>Giugno</c:v>
                </c:pt>
                <c:pt idx="6">
                  <c:v>Luglio</c:v>
                </c:pt>
                <c:pt idx="7">
                  <c:v>Agosto</c:v>
                </c:pt>
                <c:pt idx="8">
                  <c:v>Settembre</c:v>
                </c:pt>
                <c:pt idx="9">
                  <c:v>Ottobre</c:v>
                </c:pt>
                <c:pt idx="10">
                  <c:v>Novembre</c:v>
                </c:pt>
                <c:pt idx="11">
                  <c:v>Dicembre</c:v>
                </c:pt>
              </c:strCache>
            </c:strRef>
          </c:cat>
          <c:val>
            <c:numRef>
              <c:f>'Figura 5'!$G$5:$G$16</c:f>
              <c:numCache>
                <c:formatCode>0.0</c:formatCode>
                <c:ptCount val="12"/>
                <c:pt idx="0">
                  <c:v>6.8266999999999998</c:v>
                </c:pt>
                <c:pt idx="1">
                  <c:v>5.0263</c:v>
                </c:pt>
                <c:pt idx="2">
                  <c:v>4.9512</c:v>
                </c:pt>
                <c:pt idx="3">
                  <c:v>5.5514000000000001</c:v>
                </c:pt>
                <c:pt idx="4">
                  <c:v>9.3023000000000007</c:v>
                </c:pt>
                <c:pt idx="5">
                  <c:v>7.952</c:v>
                </c:pt>
                <c:pt idx="6">
                  <c:v>12.453099999999999</c:v>
                </c:pt>
                <c:pt idx="7">
                  <c:v>13.5784</c:v>
                </c:pt>
                <c:pt idx="8">
                  <c:v>7.8019999999999996</c:v>
                </c:pt>
                <c:pt idx="9">
                  <c:v>8.1020000000000003</c:v>
                </c:pt>
                <c:pt idx="10">
                  <c:v>10.1275</c:v>
                </c:pt>
                <c:pt idx="11">
                  <c:v>8.3270999999999997</c:v>
                </c:pt>
              </c:numCache>
            </c:numRef>
          </c:val>
          <c:smooth val="0"/>
          <c:extLst>
            <c:ext xmlns:c16="http://schemas.microsoft.com/office/drawing/2014/chart" uri="{C3380CC4-5D6E-409C-BE32-E72D297353CC}">
              <c16:uniqueId val="{00000002-7448-472A-8CA6-DA811D7638DA}"/>
            </c:ext>
          </c:extLst>
        </c:ser>
        <c:dLbls>
          <c:showLegendKey val="0"/>
          <c:showVal val="0"/>
          <c:showCatName val="0"/>
          <c:showSerName val="0"/>
          <c:showPercent val="0"/>
          <c:showBubbleSize val="0"/>
        </c:dLbls>
        <c:smooth val="0"/>
        <c:axId val="292503056"/>
        <c:axId val="292503616"/>
      </c:lineChart>
      <c:catAx>
        <c:axId val="292503056"/>
        <c:scaling>
          <c:orientation val="minMax"/>
        </c:scaling>
        <c:delete val="0"/>
        <c:axPos val="b"/>
        <c:numFmt formatCode="General" sourceLinked="1"/>
        <c:majorTickMark val="out"/>
        <c:minorTickMark val="none"/>
        <c:tickLblPos val="nextTo"/>
        <c:txPr>
          <a:bodyPr rot="-5400000" vert="horz"/>
          <a:lstStyle/>
          <a:p>
            <a:pPr>
              <a:defRPr sz="700"/>
            </a:pPr>
            <a:endParaRPr lang="it-IT"/>
          </a:p>
        </c:txPr>
        <c:crossAx val="292503616"/>
        <c:crosses val="autoZero"/>
        <c:auto val="1"/>
        <c:lblAlgn val="ctr"/>
        <c:lblOffset val="100"/>
        <c:noMultiLvlLbl val="0"/>
      </c:catAx>
      <c:valAx>
        <c:axId val="292503616"/>
        <c:scaling>
          <c:orientation val="minMax"/>
        </c:scaling>
        <c:delete val="0"/>
        <c:axPos val="l"/>
        <c:majorGridlines>
          <c:spPr>
            <a:ln>
              <a:noFill/>
            </a:ln>
          </c:spPr>
        </c:majorGridlines>
        <c:numFmt formatCode="0%" sourceLinked="0"/>
        <c:majorTickMark val="out"/>
        <c:minorTickMark val="none"/>
        <c:tickLblPos val="nextTo"/>
        <c:txPr>
          <a:bodyPr/>
          <a:lstStyle/>
          <a:p>
            <a:pPr>
              <a:defRPr sz="700"/>
            </a:pPr>
            <a:endParaRPr lang="it-IT"/>
          </a:p>
        </c:txPr>
        <c:crossAx val="292503056"/>
        <c:crosses val="autoZero"/>
        <c:crossBetween val="between"/>
        <c:dispUnits>
          <c:builtInUnit val="hundreds"/>
        </c:dispUnits>
      </c:valAx>
      <c:spPr>
        <a:noFill/>
      </c:spPr>
    </c:plotArea>
    <c:legend>
      <c:legendPos val="b"/>
      <c:overlay val="0"/>
    </c:legend>
    <c:plotVisOnly val="1"/>
    <c:dispBlanksAs val="gap"/>
    <c:showDLblsOverMax val="0"/>
  </c:chart>
  <c:spPr>
    <a:ln>
      <a:noFill/>
    </a:ln>
  </c:spPr>
  <c:txPr>
    <a:bodyPr/>
    <a:lstStyle/>
    <a:p>
      <a:pPr>
        <a:defRPr sz="800">
          <a:latin typeface="Arial Narrow" panose="020B0606020202030204" pitchFamily="34" charset="0"/>
        </a:defRPr>
      </a:pPr>
      <a:endParaRPr lang="it-I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2"/>
          <c:order val="0"/>
          <c:spPr>
            <a:ln w="31750">
              <a:solidFill>
                <a:srgbClr val="A71433"/>
              </a:solidFill>
            </a:ln>
          </c:spPr>
          <c:marker>
            <c:symbol val="none"/>
          </c:marker>
          <c:cat>
            <c:numRef>
              <c:f>'Figura 6'!$A$5:$A$28</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'Figura 6'!$C$5:$C$28</c:f>
              <c:numCache>
                <c:formatCode>0.0</c:formatCode>
                <c:ptCount val="24"/>
                <c:pt idx="0">
                  <c:v>2.2875816993464051</c:v>
                </c:pt>
                <c:pt idx="1">
                  <c:v>1.7429193899782136</c:v>
                </c:pt>
                <c:pt idx="2">
                  <c:v>0.65359477124183007</c:v>
                </c:pt>
                <c:pt idx="3">
                  <c:v>0.54466230936819171</c:v>
                </c:pt>
                <c:pt idx="4">
                  <c:v>0.76252723311546844</c:v>
                </c:pt>
                <c:pt idx="5">
                  <c:v>1.5250544662309369</c:v>
                </c:pt>
                <c:pt idx="6">
                  <c:v>2.505446623093682</c:v>
                </c:pt>
                <c:pt idx="7">
                  <c:v>4.1394335511982572</c:v>
                </c:pt>
                <c:pt idx="8">
                  <c:v>5.9912854030501093</c:v>
                </c:pt>
                <c:pt idx="9">
                  <c:v>5.0108932461873641</c:v>
                </c:pt>
                <c:pt idx="10">
                  <c:v>6.318082788671024</c:v>
                </c:pt>
                <c:pt idx="11">
                  <c:v>6.5359477124183014</c:v>
                </c:pt>
                <c:pt idx="12">
                  <c:v>8.2788671023965144</c:v>
                </c:pt>
                <c:pt idx="13">
                  <c:v>7.7342047930283222</c:v>
                </c:pt>
                <c:pt idx="14">
                  <c:v>5.5555555555555554</c:v>
                </c:pt>
                <c:pt idx="15">
                  <c:v>5.0108932461873641</c:v>
                </c:pt>
                <c:pt idx="16">
                  <c:v>5.3376906318082789</c:v>
                </c:pt>
                <c:pt idx="17">
                  <c:v>6.4270152505446623</c:v>
                </c:pt>
                <c:pt idx="18">
                  <c:v>7.2984749455337683</c:v>
                </c:pt>
                <c:pt idx="19">
                  <c:v>4.9019607843137258</c:v>
                </c:pt>
                <c:pt idx="20">
                  <c:v>4.6840958605664484</c:v>
                </c:pt>
                <c:pt idx="21">
                  <c:v>3.2679738562091507</c:v>
                </c:pt>
                <c:pt idx="22">
                  <c:v>2.2875816993464051</c:v>
                </c:pt>
                <c:pt idx="23">
                  <c:v>1.1982570806100217</c:v>
                </c:pt>
              </c:numCache>
            </c:numRef>
          </c:val>
          <c:extLst>
            <c:ext xmlns:c16="http://schemas.microsoft.com/office/drawing/2014/chart" uri="{C3380CC4-5D6E-409C-BE32-E72D297353CC}">
              <c16:uniqueId val="{00000000-548E-4584-AC2D-68DCB8AA2E54}"/>
            </c:ext>
          </c:extLst>
        </c:ser>
        <c:dLbls>
          <c:showLegendKey val="0"/>
          <c:showVal val="0"/>
          <c:showCatName val="0"/>
          <c:showSerName val="0"/>
          <c:showPercent val="0"/>
          <c:showBubbleSize val="0"/>
        </c:dLbls>
        <c:axId val="292505856"/>
        <c:axId val="286999312"/>
      </c:radarChart>
      <c:catAx>
        <c:axId val="292505856"/>
        <c:scaling>
          <c:orientation val="minMax"/>
        </c:scaling>
        <c:delete val="0"/>
        <c:axPos val="b"/>
        <c:majorGridlines/>
        <c:numFmt formatCode="General" sourceLinked="1"/>
        <c:majorTickMark val="out"/>
        <c:minorTickMark val="none"/>
        <c:tickLblPos val="nextTo"/>
        <c:crossAx val="286999312"/>
        <c:crosses val="autoZero"/>
        <c:auto val="1"/>
        <c:lblAlgn val="ctr"/>
        <c:lblOffset val="100"/>
        <c:noMultiLvlLbl val="0"/>
      </c:catAx>
      <c:valAx>
        <c:axId val="286999312"/>
        <c:scaling>
          <c:orientation val="minMax"/>
          <c:max val="10"/>
        </c:scaling>
        <c:delete val="0"/>
        <c:axPos val="l"/>
        <c:majorGridlines/>
        <c:numFmt formatCode="0%" sourceLinked="0"/>
        <c:majorTickMark val="cross"/>
        <c:minorTickMark val="none"/>
        <c:tickLblPos val="nextTo"/>
        <c:crossAx val="292505856"/>
        <c:crosses val="autoZero"/>
        <c:crossBetween val="between"/>
        <c:dispUnits>
          <c:builtInUnit val="hundreds"/>
        </c:dispUnits>
      </c:valAx>
    </c:plotArea>
    <c:plotVisOnly val="1"/>
    <c:dispBlanksAs val="gap"/>
    <c:showDLblsOverMax val="0"/>
  </c:chart>
  <c:spPr>
    <a:ln>
      <a:noFill/>
    </a:ln>
  </c:spPr>
  <c:txPr>
    <a:bodyPr/>
    <a:lstStyle/>
    <a:p>
      <a:pPr>
        <a:defRPr sz="700">
          <a:latin typeface="Arial Narrow" panose="020B0606020202030204" pitchFamily="34" charset="0"/>
        </a:defRPr>
      </a:pPr>
      <a:endParaRPr lang="it-I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98523320727535"/>
          <c:y val="6.8543187347931869E-2"/>
          <c:w val="0.84548735811798204"/>
          <c:h val="0.75979688791315769"/>
        </c:manualLayout>
      </c:layout>
      <c:lineChart>
        <c:grouping val="standard"/>
        <c:varyColors val="0"/>
        <c:ser>
          <c:idx val="4"/>
          <c:order val="0"/>
          <c:spPr>
            <a:ln w="31750">
              <a:solidFill>
                <a:srgbClr val="A71433"/>
              </a:solidFill>
            </a:ln>
          </c:spPr>
          <c:marker>
            <c:symbol val="none"/>
          </c:marker>
          <c:cat>
            <c:numRef>
              <c:f>'Figura 7'!$A$5:$A$28</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'Figura 7'!$B$5:$B$28</c:f>
              <c:numCache>
                <c:formatCode>0.0</c:formatCode>
                <c:ptCount val="24"/>
                <c:pt idx="0">
                  <c:v>4.76</c:v>
                </c:pt>
                <c:pt idx="1">
                  <c:v>6.25</c:v>
                </c:pt>
                <c:pt idx="2">
                  <c:v>33.33</c:v>
                </c:pt>
                <c:pt idx="3">
                  <c:v>0</c:v>
                </c:pt>
                <c:pt idx="4">
                  <c:v>0</c:v>
                </c:pt>
                <c:pt idx="5">
                  <c:v>7.14</c:v>
                </c:pt>
                <c:pt idx="6">
                  <c:v>4.3499999999999996</c:v>
                </c:pt>
                <c:pt idx="7">
                  <c:v>5.26</c:v>
                </c:pt>
                <c:pt idx="8">
                  <c:v>7.27</c:v>
                </c:pt>
                <c:pt idx="9">
                  <c:v>6.52</c:v>
                </c:pt>
                <c:pt idx="10">
                  <c:v>5.17</c:v>
                </c:pt>
                <c:pt idx="11">
                  <c:v>0</c:v>
                </c:pt>
                <c:pt idx="12">
                  <c:v>3.95</c:v>
                </c:pt>
                <c:pt idx="13">
                  <c:v>1.41</c:v>
                </c:pt>
                <c:pt idx="14">
                  <c:v>5.88</c:v>
                </c:pt>
                <c:pt idx="15">
                  <c:v>2.17</c:v>
                </c:pt>
                <c:pt idx="16">
                  <c:v>0</c:v>
                </c:pt>
                <c:pt idx="17">
                  <c:v>1.69</c:v>
                </c:pt>
                <c:pt idx="18">
                  <c:v>2.99</c:v>
                </c:pt>
                <c:pt idx="19">
                  <c:v>4.4400000000000004</c:v>
                </c:pt>
                <c:pt idx="20">
                  <c:v>4.6500000000000004</c:v>
                </c:pt>
                <c:pt idx="21">
                  <c:v>0</c:v>
                </c:pt>
                <c:pt idx="22">
                  <c:v>9.52</c:v>
                </c:pt>
                <c:pt idx="23">
                  <c:v>9.09</c:v>
                </c:pt>
              </c:numCache>
            </c:numRef>
          </c:val>
          <c:smooth val="0"/>
          <c:extLst>
            <c:ext xmlns:c16="http://schemas.microsoft.com/office/drawing/2014/chart" uri="{C3380CC4-5D6E-409C-BE32-E72D297353CC}">
              <c16:uniqueId val="{00000000-E9F4-40CD-9039-354899FB27F6}"/>
            </c:ext>
          </c:extLst>
        </c:ser>
        <c:dLbls>
          <c:showLegendKey val="0"/>
          <c:showVal val="0"/>
          <c:showCatName val="0"/>
          <c:showSerName val="0"/>
          <c:showPercent val="0"/>
          <c:showBubbleSize val="0"/>
        </c:dLbls>
        <c:smooth val="0"/>
        <c:axId val="287001552"/>
        <c:axId val="287002112"/>
      </c:lineChart>
      <c:catAx>
        <c:axId val="287001552"/>
        <c:scaling>
          <c:orientation val="minMax"/>
        </c:scaling>
        <c:delete val="0"/>
        <c:axPos val="b"/>
        <c:numFmt formatCode="General" sourceLinked="1"/>
        <c:majorTickMark val="out"/>
        <c:minorTickMark val="none"/>
        <c:tickLblPos val="nextTo"/>
        <c:txPr>
          <a:bodyPr rot="-5400000" vert="horz"/>
          <a:lstStyle/>
          <a:p>
            <a:pPr>
              <a:defRPr sz="700"/>
            </a:pPr>
            <a:endParaRPr lang="it-IT"/>
          </a:p>
        </c:txPr>
        <c:crossAx val="287002112"/>
        <c:crosses val="autoZero"/>
        <c:auto val="1"/>
        <c:lblAlgn val="ctr"/>
        <c:lblOffset val="100"/>
        <c:tickLblSkip val="1"/>
        <c:noMultiLvlLbl val="0"/>
      </c:catAx>
      <c:valAx>
        <c:axId val="287002112"/>
        <c:scaling>
          <c:orientation val="minMax"/>
        </c:scaling>
        <c:delete val="0"/>
        <c:axPos val="l"/>
        <c:numFmt formatCode="_-* #,##0_-;\-* #,##0_-;_-* &quot;-&quot;??_-;_-@_-" sourceLinked="0"/>
        <c:majorTickMark val="out"/>
        <c:minorTickMark val="none"/>
        <c:tickLblPos val="nextTo"/>
        <c:txPr>
          <a:bodyPr/>
          <a:lstStyle/>
          <a:p>
            <a:pPr>
              <a:defRPr sz="700"/>
            </a:pPr>
            <a:endParaRPr lang="it-IT"/>
          </a:p>
        </c:txPr>
        <c:crossAx val="287001552"/>
        <c:crosses val="autoZero"/>
        <c:crossBetween val="between"/>
      </c:valAx>
    </c:plotArea>
    <c:plotVisOnly val="1"/>
    <c:dispBlanksAs val="gap"/>
    <c:showDLblsOverMax val="0"/>
  </c:chart>
  <c:spPr>
    <a:ln>
      <a:noFill/>
    </a:ln>
  </c:spPr>
  <c:txPr>
    <a:bodyPr/>
    <a:lstStyle/>
    <a:p>
      <a:pPr>
        <a:defRPr sz="800">
          <a:latin typeface="Arial Narrow" panose="020B0606020202030204" pitchFamily="34" charset="0"/>
          <a:cs typeface="Arial" panose="020B0604020202020204" pitchFamily="34" charset="0"/>
        </a:defRPr>
      </a:pPr>
      <a:endParaRPr lang="it-I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'Figura 8'!$B$5</c:f>
              <c:strCache>
                <c:ptCount val="1"/>
                <c:pt idx="0">
                  <c:v>Maschi</c:v>
                </c:pt>
              </c:strCache>
            </c:strRef>
          </c:tx>
          <c:spPr>
            <a:solidFill>
              <a:srgbClr val="A71433"/>
            </a:solidFill>
          </c:spPr>
          <c:invertIfNegative val="0"/>
          <c:cat>
            <c:strRef>
              <c:f>'Figura 8'!$A$6:$A$10</c:f>
              <c:strCache>
                <c:ptCount val="5"/>
                <c:pt idx="0">
                  <c:v>fino a 14</c:v>
                </c:pt>
                <c:pt idx="1">
                  <c:v>15-29</c:v>
                </c:pt>
                <c:pt idx="2">
                  <c:v>30-44</c:v>
                </c:pt>
                <c:pt idx="3">
                  <c:v>45-64</c:v>
                </c:pt>
                <c:pt idx="4">
                  <c:v>65 +</c:v>
                </c:pt>
              </c:strCache>
            </c:strRef>
          </c:cat>
          <c:val>
            <c:numRef>
              <c:f>'Figura 8'!$B$6:$B$10</c:f>
              <c:numCache>
                <c:formatCode>General</c:formatCode>
                <c:ptCount val="5"/>
                <c:pt idx="0">
                  <c:v>0</c:v>
                </c:pt>
                <c:pt idx="1">
                  <c:v>4</c:v>
                </c:pt>
                <c:pt idx="2">
                  <c:v>7</c:v>
                </c:pt>
                <c:pt idx="3">
                  <c:v>6</c:v>
                </c:pt>
                <c:pt idx="4">
                  <c:v>8</c:v>
                </c:pt>
              </c:numCache>
            </c:numRef>
          </c:val>
          <c:extLst>
            <c:ext xmlns:c16="http://schemas.microsoft.com/office/drawing/2014/chart" uri="{C3380CC4-5D6E-409C-BE32-E72D297353CC}">
              <c16:uniqueId val="{00000000-B0DB-40E5-99FE-27ED6FD6FAE6}"/>
            </c:ext>
          </c:extLst>
        </c:ser>
        <c:ser>
          <c:idx val="1"/>
          <c:order val="1"/>
          <c:tx>
            <c:strRef>
              <c:f>'Figura 8'!$C$5</c:f>
              <c:strCache>
                <c:ptCount val="1"/>
                <c:pt idx="0">
                  <c:v>Femmine</c:v>
                </c:pt>
              </c:strCache>
            </c:strRef>
          </c:tx>
          <c:spPr>
            <a:solidFill>
              <a:srgbClr val="BFBFBF"/>
            </a:solidFill>
          </c:spPr>
          <c:invertIfNegative val="0"/>
          <c:cat>
            <c:strRef>
              <c:f>'Figura 8'!$A$6:$A$10</c:f>
              <c:strCache>
                <c:ptCount val="5"/>
                <c:pt idx="0">
                  <c:v>fino a 14</c:v>
                </c:pt>
                <c:pt idx="1">
                  <c:v>15-29</c:v>
                </c:pt>
                <c:pt idx="2">
                  <c:v>30-44</c:v>
                </c:pt>
                <c:pt idx="3">
                  <c:v>45-64</c:v>
                </c:pt>
                <c:pt idx="4">
                  <c:v>65 +</c:v>
                </c:pt>
              </c:strCache>
            </c:strRef>
          </c:cat>
          <c:val>
            <c:numRef>
              <c:f>'Figura 8'!$C$6:$C$10</c:f>
              <c:numCache>
                <c:formatCode>General</c:formatCode>
                <c:ptCount val="5"/>
                <c:pt idx="0">
                  <c:v>0</c:v>
                </c:pt>
                <c:pt idx="1">
                  <c:v>2</c:v>
                </c:pt>
                <c:pt idx="2">
                  <c:v>2</c:v>
                </c:pt>
                <c:pt idx="3">
                  <c:v>4</c:v>
                </c:pt>
                <c:pt idx="4">
                  <c:v>3</c:v>
                </c:pt>
              </c:numCache>
            </c:numRef>
          </c:val>
          <c:extLst>
            <c:ext xmlns:c16="http://schemas.microsoft.com/office/drawing/2014/chart" uri="{C3380CC4-5D6E-409C-BE32-E72D297353CC}">
              <c16:uniqueId val="{00000001-B0DB-40E5-99FE-27ED6FD6FAE6}"/>
            </c:ext>
          </c:extLst>
        </c:ser>
        <c:dLbls>
          <c:showLegendKey val="0"/>
          <c:showVal val="0"/>
          <c:showCatName val="0"/>
          <c:showSerName val="0"/>
          <c:showPercent val="0"/>
          <c:showBubbleSize val="0"/>
        </c:dLbls>
        <c:gapWidth val="50"/>
        <c:overlap val="100"/>
        <c:axId val="283527728"/>
        <c:axId val="283528288"/>
      </c:barChart>
      <c:scatterChart>
        <c:scatterStyle val="lineMarker"/>
        <c:varyColors val="0"/>
        <c:ser>
          <c:idx val="2"/>
          <c:order val="2"/>
          <c:tx>
            <c:strRef>
              <c:f>'Figura 8'!$D$5</c:f>
              <c:strCache>
                <c:ptCount val="1"/>
                <c:pt idx="0">
                  <c:v>Tasso di mortalità standardizzato</c:v>
                </c:pt>
              </c:strCache>
            </c:strRef>
          </c:tx>
          <c:spPr>
            <a:ln w="19050">
              <a:noFill/>
            </a:ln>
          </c:spPr>
          <c:marker>
            <c:spPr>
              <a:solidFill>
                <a:srgbClr val="D99694"/>
              </a:solidFill>
              <a:ln>
                <a:solidFill>
                  <a:srgbClr val="D99694"/>
                </a:solidFill>
              </a:ln>
            </c:spPr>
          </c:marker>
          <c:dLbls>
            <c:dLbl>
              <c:idx val="0"/>
              <c:layout>
                <c:manualLayout>
                  <c:x val="-5.6875261684847571E-2"/>
                  <c:y val="-6.30842550256584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DB-40E5-99FE-27ED6FD6FAE6}"/>
                </c:ext>
              </c:extLst>
            </c:dLbl>
            <c:dLbl>
              <c:idx val="3"/>
              <c:layout>
                <c:manualLayout>
                  <c:x val="-6.1020405133204988E-2"/>
                  <c:y val="9.5415744546316725E-2"/>
                </c:manualLayout>
              </c:layout>
              <c:numFmt formatCode="0.0" sourceLinked="0"/>
              <c:spPr>
                <a:noFill/>
                <a:ln>
                  <a:noFill/>
                </a:ln>
                <a:effectLst/>
              </c:spPr>
              <c:txPr>
                <a:bodyPr wrap="square" lIns="38100" tIns="19050" rIns="38100" bIns="19050" anchor="ctr">
                  <a:spAutoFit/>
                </a:bodyPr>
                <a:lstStyle/>
                <a:p>
                  <a:pPr>
                    <a:defRPr b="1">
                      <a:solidFill>
                        <a:schemeClr val="bg1"/>
                      </a:solidFill>
                    </a:defRPr>
                  </a:pPr>
                  <a:endParaRPr lang="it-I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DB-40E5-99FE-27ED6FD6FAE6}"/>
                </c:ext>
              </c:extLst>
            </c:dLbl>
            <c:numFmt formatCode="0.0" sourceLinked="0"/>
            <c:spPr>
              <a:noFill/>
              <a:ln>
                <a:noFill/>
              </a:ln>
              <a:effectLst/>
            </c:spPr>
            <c:txPr>
              <a:bodyPr wrap="square" lIns="38100" tIns="19050" rIns="38100" bIns="19050" anchor="ctr">
                <a:spAutoFit/>
              </a:bodyPr>
              <a:lstStyle/>
              <a:p>
                <a:pPr>
                  <a:defRPr b="1"/>
                </a:pPr>
                <a:endParaRPr lang="it-I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strRef>
              <c:f>'Figura 8'!$A$6:$A$10</c:f>
              <c:strCache>
                <c:ptCount val="5"/>
                <c:pt idx="0">
                  <c:v>fino a 14</c:v>
                </c:pt>
                <c:pt idx="1">
                  <c:v>15-29</c:v>
                </c:pt>
                <c:pt idx="2">
                  <c:v>30-44</c:v>
                </c:pt>
                <c:pt idx="3">
                  <c:v>45-64</c:v>
                </c:pt>
                <c:pt idx="4">
                  <c:v>65 +</c:v>
                </c:pt>
              </c:strCache>
            </c:strRef>
          </c:xVal>
          <c:yVal>
            <c:numRef>
              <c:f>'Figura 8'!$D$6:$D$10</c:f>
              <c:numCache>
                <c:formatCode>0.0</c:formatCode>
                <c:ptCount val="5"/>
                <c:pt idx="0">
                  <c:v>0</c:v>
                </c:pt>
                <c:pt idx="1">
                  <c:v>7.0457166717749198</c:v>
                </c:pt>
                <c:pt idx="2">
                  <c:v>8.9627085986261594</c:v>
                </c:pt>
                <c:pt idx="3">
                  <c:v>5.8936372346545696</c:v>
                </c:pt>
                <c:pt idx="4">
                  <c:v>8.4392168317994596</c:v>
                </c:pt>
              </c:numCache>
            </c:numRef>
          </c:yVal>
          <c:smooth val="0"/>
          <c:extLst>
            <c:ext xmlns:c16="http://schemas.microsoft.com/office/drawing/2014/chart" uri="{C3380CC4-5D6E-409C-BE32-E72D297353CC}">
              <c16:uniqueId val="{00000003-B0DB-40E5-99FE-27ED6FD6FAE6}"/>
            </c:ext>
          </c:extLst>
        </c:ser>
        <c:dLbls>
          <c:showLegendKey val="0"/>
          <c:showVal val="0"/>
          <c:showCatName val="0"/>
          <c:showSerName val="0"/>
          <c:showPercent val="0"/>
          <c:showBubbleSize val="0"/>
        </c:dLbls>
        <c:axId val="283434720"/>
        <c:axId val="283528848"/>
      </c:scatterChart>
      <c:catAx>
        <c:axId val="283527728"/>
        <c:scaling>
          <c:orientation val="minMax"/>
        </c:scaling>
        <c:delete val="0"/>
        <c:axPos val="b"/>
        <c:numFmt formatCode="General" sourceLinked="0"/>
        <c:majorTickMark val="out"/>
        <c:minorTickMark val="none"/>
        <c:tickLblPos val="nextTo"/>
        <c:crossAx val="283528288"/>
        <c:crosses val="autoZero"/>
        <c:auto val="1"/>
        <c:lblAlgn val="ctr"/>
        <c:lblOffset val="100"/>
        <c:noMultiLvlLbl val="0"/>
      </c:catAx>
      <c:valAx>
        <c:axId val="283528288"/>
        <c:scaling>
          <c:orientation val="minMax"/>
        </c:scaling>
        <c:delete val="0"/>
        <c:axPos val="l"/>
        <c:numFmt formatCode="_-* #,##0_-;\-* #,##0_-;_-* &quot;-&quot;??_-;_-@_-" sourceLinked="0"/>
        <c:majorTickMark val="out"/>
        <c:minorTickMark val="none"/>
        <c:tickLblPos val="nextTo"/>
        <c:crossAx val="283527728"/>
        <c:crosses val="autoZero"/>
        <c:crossBetween val="between"/>
      </c:valAx>
      <c:valAx>
        <c:axId val="283528848"/>
        <c:scaling>
          <c:orientation val="minMax"/>
        </c:scaling>
        <c:delete val="0"/>
        <c:axPos val="r"/>
        <c:numFmt formatCode="0" sourceLinked="0"/>
        <c:majorTickMark val="out"/>
        <c:minorTickMark val="none"/>
        <c:tickLblPos val="nextTo"/>
        <c:crossAx val="283434720"/>
        <c:crosses val="max"/>
        <c:crossBetween val="midCat"/>
      </c:valAx>
      <c:valAx>
        <c:axId val="283434720"/>
        <c:scaling>
          <c:orientation val="minMax"/>
        </c:scaling>
        <c:delete val="1"/>
        <c:axPos val="t"/>
        <c:majorTickMark val="out"/>
        <c:minorTickMark val="none"/>
        <c:tickLblPos val="nextTo"/>
        <c:crossAx val="283528848"/>
        <c:crosses val="max"/>
        <c:crossBetween val="midCat"/>
      </c:valAx>
    </c:plotArea>
    <c:legend>
      <c:legendPos val="b"/>
      <c:overlay val="0"/>
    </c:legend>
    <c:plotVisOnly val="1"/>
    <c:dispBlanksAs val="gap"/>
    <c:showDLblsOverMax val="0"/>
  </c:chart>
  <c:spPr>
    <a:ln>
      <a:noFill/>
    </a:ln>
  </c:spPr>
  <c:txPr>
    <a:bodyPr/>
    <a:lstStyle/>
    <a:p>
      <a:pPr>
        <a:defRPr sz="800">
          <a:latin typeface="Arial Narrow" panose="020B0606020202030204" pitchFamily="34" charset="0"/>
        </a:defRPr>
      </a:pPr>
      <a:endParaRPr lang="it-I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11744423138826166"/>
          <c:y val="8.771929824561403E-2"/>
          <c:w val="0.84109789992715489"/>
          <c:h val="0.66990560390477505"/>
        </c:manualLayout>
      </c:layout>
      <c:barChart>
        <c:barDir val="bar"/>
        <c:grouping val="stacked"/>
        <c:varyColors val="0"/>
        <c:ser>
          <c:idx val="0"/>
          <c:order val="0"/>
          <c:tx>
            <c:strRef>
              <c:f>'Figura 9'!$B$5</c:f>
              <c:strCache>
                <c:ptCount val="1"/>
                <c:pt idx="0">
                  <c:v>Conducente</c:v>
                </c:pt>
              </c:strCache>
            </c:strRef>
          </c:tx>
          <c:spPr>
            <a:solidFill>
              <a:srgbClr val="A71433"/>
            </a:solidFill>
          </c:spPr>
          <c:invertIfNegative val="0"/>
          <c:cat>
            <c:strRef>
              <c:f>'Figura 9'!$A$6:$A$10</c:f>
              <c:strCache>
                <c:ptCount val="5"/>
                <c:pt idx="0">
                  <c:v>15-29</c:v>
                </c:pt>
                <c:pt idx="1">
                  <c:v>30-44</c:v>
                </c:pt>
                <c:pt idx="2">
                  <c:v>45-64</c:v>
                </c:pt>
                <c:pt idx="3">
                  <c:v>65 +</c:v>
                </c:pt>
                <c:pt idx="4">
                  <c:v>Totale</c:v>
                </c:pt>
              </c:strCache>
            </c:strRef>
          </c:cat>
          <c:val>
            <c:numRef>
              <c:f>'Figura 9'!$B$6:$B$10</c:f>
              <c:numCache>
                <c:formatCode>General</c:formatCode>
                <c:ptCount val="5"/>
                <c:pt idx="0">
                  <c:v>-3</c:v>
                </c:pt>
                <c:pt idx="1">
                  <c:v>-6</c:v>
                </c:pt>
                <c:pt idx="2">
                  <c:v>-6</c:v>
                </c:pt>
                <c:pt idx="3">
                  <c:v>-8</c:v>
                </c:pt>
              </c:numCache>
            </c:numRef>
          </c:val>
          <c:extLst>
            <c:ext xmlns:c16="http://schemas.microsoft.com/office/drawing/2014/chart" uri="{C3380CC4-5D6E-409C-BE32-E72D297353CC}">
              <c16:uniqueId val="{00000000-A496-49E2-9B89-DF078EE8F6B1}"/>
            </c:ext>
          </c:extLst>
        </c:ser>
        <c:ser>
          <c:idx val="1"/>
          <c:order val="1"/>
          <c:tx>
            <c:strRef>
              <c:f>'Figura 9'!$C$5</c:f>
              <c:strCache>
                <c:ptCount val="1"/>
                <c:pt idx="0">
                  <c:v>Passeggero</c:v>
                </c:pt>
              </c:strCache>
            </c:strRef>
          </c:tx>
          <c:spPr>
            <a:solidFill>
              <a:srgbClr val="D99694"/>
            </a:solidFill>
          </c:spPr>
          <c:invertIfNegative val="0"/>
          <c:cat>
            <c:strRef>
              <c:f>'Figura 9'!$A$6:$A$10</c:f>
              <c:strCache>
                <c:ptCount val="5"/>
                <c:pt idx="0">
                  <c:v>15-29</c:v>
                </c:pt>
                <c:pt idx="1">
                  <c:v>30-44</c:v>
                </c:pt>
                <c:pt idx="2">
                  <c:v>45-64</c:v>
                </c:pt>
                <c:pt idx="3">
                  <c:v>65 +</c:v>
                </c:pt>
                <c:pt idx="4">
                  <c:v>Totale</c:v>
                </c:pt>
              </c:strCache>
            </c:strRef>
          </c:cat>
          <c:val>
            <c:numRef>
              <c:f>'Figura 9'!$C$6:$C$10</c:f>
              <c:numCache>
                <c:formatCode>General</c:formatCode>
                <c:ptCount val="5"/>
                <c:pt idx="0">
                  <c:v>0</c:v>
                </c:pt>
                <c:pt idx="1">
                  <c:v>-1</c:v>
                </c:pt>
                <c:pt idx="2">
                  <c:v>0</c:v>
                </c:pt>
                <c:pt idx="3">
                  <c:v>0</c:v>
                </c:pt>
              </c:numCache>
            </c:numRef>
          </c:val>
          <c:extLst>
            <c:ext xmlns:c16="http://schemas.microsoft.com/office/drawing/2014/chart" uri="{C3380CC4-5D6E-409C-BE32-E72D297353CC}">
              <c16:uniqueId val="{00000001-A496-49E2-9B89-DF078EE8F6B1}"/>
            </c:ext>
          </c:extLst>
        </c:ser>
        <c:ser>
          <c:idx val="2"/>
          <c:order val="2"/>
          <c:tx>
            <c:strRef>
              <c:f>'Figura 9'!$D$5</c:f>
              <c:strCache>
                <c:ptCount val="1"/>
                <c:pt idx="0">
                  <c:v>Pedone</c:v>
                </c:pt>
              </c:strCache>
            </c:strRef>
          </c:tx>
          <c:spPr>
            <a:solidFill>
              <a:srgbClr val="BFBFBF"/>
            </a:solidFill>
          </c:spPr>
          <c:invertIfNegative val="0"/>
          <c:cat>
            <c:strRef>
              <c:f>'Figura 9'!$A$6:$A$10</c:f>
              <c:strCache>
                <c:ptCount val="5"/>
                <c:pt idx="0">
                  <c:v>15-29</c:v>
                </c:pt>
                <c:pt idx="1">
                  <c:v>30-44</c:v>
                </c:pt>
                <c:pt idx="2">
                  <c:v>45-64</c:v>
                </c:pt>
                <c:pt idx="3">
                  <c:v>65 +</c:v>
                </c:pt>
                <c:pt idx="4">
                  <c:v>Totale</c:v>
                </c:pt>
              </c:strCache>
            </c:strRef>
          </c:cat>
          <c:val>
            <c:numRef>
              <c:f>'Figura 9'!$D$6:$D$10</c:f>
              <c:numCache>
                <c:formatCode>General</c:formatCode>
                <c:ptCount val="5"/>
                <c:pt idx="0">
                  <c:v>-1</c:v>
                </c:pt>
                <c:pt idx="1">
                  <c:v>0</c:v>
                </c:pt>
                <c:pt idx="2">
                  <c:v>0</c:v>
                </c:pt>
                <c:pt idx="3">
                  <c:v>0</c:v>
                </c:pt>
              </c:numCache>
            </c:numRef>
          </c:val>
          <c:extLst>
            <c:ext xmlns:c16="http://schemas.microsoft.com/office/drawing/2014/chart" uri="{C3380CC4-5D6E-409C-BE32-E72D297353CC}">
              <c16:uniqueId val="{00000002-A496-49E2-9B89-DF078EE8F6B1}"/>
            </c:ext>
          </c:extLst>
        </c:ser>
        <c:ser>
          <c:idx val="3"/>
          <c:order val="3"/>
          <c:tx>
            <c:strRef>
              <c:f>'Figura 9'!$E$5</c:f>
              <c:strCache>
                <c:ptCount val="1"/>
                <c:pt idx="0">
                  <c:v>Conducente</c:v>
                </c:pt>
              </c:strCache>
            </c:strRef>
          </c:tx>
          <c:spPr>
            <a:solidFill>
              <a:srgbClr val="A71433"/>
            </a:solidFill>
          </c:spPr>
          <c:invertIfNegative val="0"/>
          <c:cat>
            <c:strRef>
              <c:f>'Figura 9'!$A$6:$A$10</c:f>
              <c:strCache>
                <c:ptCount val="5"/>
                <c:pt idx="0">
                  <c:v>15-29</c:v>
                </c:pt>
                <c:pt idx="1">
                  <c:v>30-44</c:v>
                </c:pt>
                <c:pt idx="2">
                  <c:v>45-64</c:v>
                </c:pt>
                <c:pt idx="3">
                  <c:v>65 +</c:v>
                </c:pt>
                <c:pt idx="4">
                  <c:v>Totale</c:v>
                </c:pt>
              </c:strCache>
            </c:strRef>
          </c:cat>
          <c:val>
            <c:numRef>
              <c:f>'Figura 9'!$E$6:$E$10</c:f>
              <c:numCache>
                <c:formatCode>General</c:formatCode>
                <c:ptCount val="5"/>
                <c:pt idx="0">
                  <c:v>1</c:v>
                </c:pt>
                <c:pt idx="1">
                  <c:v>1</c:v>
                </c:pt>
                <c:pt idx="2">
                  <c:v>2</c:v>
                </c:pt>
                <c:pt idx="3">
                  <c:v>0</c:v>
                </c:pt>
              </c:numCache>
            </c:numRef>
          </c:val>
          <c:extLst>
            <c:ext xmlns:c16="http://schemas.microsoft.com/office/drawing/2014/chart" uri="{C3380CC4-5D6E-409C-BE32-E72D297353CC}">
              <c16:uniqueId val="{00000003-A496-49E2-9B89-DF078EE8F6B1}"/>
            </c:ext>
          </c:extLst>
        </c:ser>
        <c:ser>
          <c:idx val="4"/>
          <c:order val="4"/>
          <c:tx>
            <c:strRef>
              <c:f>'Figura 9'!$F$5</c:f>
              <c:strCache>
                <c:ptCount val="1"/>
                <c:pt idx="0">
                  <c:v>Passeggero</c:v>
                </c:pt>
              </c:strCache>
            </c:strRef>
          </c:tx>
          <c:spPr>
            <a:solidFill>
              <a:srgbClr val="D99694"/>
            </a:solidFill>
          </c:spPr>
          <c:invertIfNegative val="0"/>
          <c:cat>
            <c:strRef>
              <c:f>'Figura 9'!$A$6:$A$10</c:f>
              <c:strCache>
                <c:ptCount val="5"/>
                <c:pt idx="0">
                  <c:v>15-29</c:v>
                </c:pt>
                <c:pt idx="1">
                  <c:v>30-44</c:v>
                </c:pt>
                <c:pt idx="2">
                  <c:v>45-64</c:v>
                </c:pt>
                <c:pt idx="3">
                  <c:v>65 +</c:v>
                </c:pt>
                <c:pt idx="4">
                  <c:v>Totale</c:v>
                </c:pt>
              </c:strCache>
            </c:strRef>
          </c:cat>
          <c:val>
            <c:numRef>
              <c:f>'Figura 9'!$F$6:$F$10</c:f>
              <c:numCache>
                <c:formatCode>General</c:formatCode>
                <c:ptCount val="5"/>
                <c:pt idx="0">
                  <c:v>1</c:v>
                </c:pt>
                <c:pt idx="1">
                  <c:v>0</c:v>
                </c:pt>
                <c:pt idx="2">
                  <c:v>2</c:v>
                </c:pt>
                <c:pt idx="3">
                  <c:v>0</c:v>
                </c:pt>
              </c:numCache>
            </c:numRef>
          </c:val>
          <c:extLst>
            <c:ext xmlns:c16="http://schemas.microsoft.com/office/drawing/2014/chart" uri="{C3380CC4-5D6E-409C-BE32-E72D297353CC}">
              <c16:uniqueId val="{00000004-A496-49E2-9B89-DF078EE8F6B1}"/>
            </c:ext>
          </c:extLst>
        </c:ser>
        <c:ser>
          <c:idx val="5"/>
          <c:order val="5"/>
          <c:tx>
            <c:strRef>
              <c:f>'Figura 9'!$G$5</c:f>
              <c:strCache>
                <c:ptCount val="1"/>
                <c:pt idx="0">
                  <c:v>Pedone</c:v>
                </c:pt>
              </c:strCache>
            </c:strRef>
          </c:tx>
          <c:spPr>
            <a:solidFill>
              <a:srgbClr val="BFBFBF"/>
            </a:solidFill>
          </c:spPr>
          <c:invertIfNegative val="0"/>
          <c:cat>
            <c:strRef>
              <c:f>'Figura 9'!$A$6:$A$10</c:f>
              <c:strCache>
                <c:ptCount val="5"/>
                <c:pt idx="0">
                  <c:v>15-29</c:v>
                </c:pt>
                <c:pt idx="1">
                  <c:v>30-44</c:v>
                </c:pt>
                <c:pt idx="2">
                  <c:v>45-64</c:v>
                </c:pt>
                <c:pt idx="3">
                  <c:v>65 +</c:v>
                </c:pt>
                <c:pt idx="4">
                  <c:v>Totale</c:v>
                </c:pt>
              </c:strCache>
            </c:strRef>
          </c:cat>
          <c:val>
            <c:numRef>
              <c:f>'Figura 9'!$G$6:$G$10</c:f>
              <c:numCache>
                <c:formatCode>General</c:formatCode>
                <c:ptCount val="5"/>
                <c:pt idx="0">
                  <c:v>0</c:v>
                </c:pt>
                <c:pt idx="1">
                  <c:v>1</c:v>
                </c:pt>
                <c:pt idx="2">
                  <c:v>0</c:v>
                </c:pt>
                <c:pt idx="3">
                  <c:v>3</c:v>
                </c:pt>
              </c:numCache>
            </c:numRef>
          </c:val>
          <c:extLst>
            <c:ext xmlns:c16="http://schemas.microsoft.com/office/drawing/2014/chart" uri="{C3380CC4-5D6E-409C-BE32-E72D297353CC}">
              <c16:uniqueId val="{00000005-A496-49E2-9B89-DF078EE8F6B1}"/>
            </c:ext>
          </c:extLst>
        </c:ser>
        <c:dLbls>
          <c:showLegendKey val="0"/>
          <c:showVal val="0"/>
          <c:showCatName val="0"/>
          <c:showSerName val="0"/>
          <c:showPercent val="0"/>
          <c:showBubbleSize val="0"/>
        </c:dLbls>
        <c:gapWidth val="50"/>
        <c:overlap val="100"/>
        <c:axId val="294819856"/>
        <c:axId val="294820416"/>
      </c:barChart>
      <c:catAx>
        <c:axId val="294819856"/>
        <c:scaling>
          <c:orientation val="minMax"/>
        </c:scaling>
        <c:delete val="0"/>
        <c:axPos val="l"/>
        <c:numFmt formatCode="General" sourceLinked="0"/>
        <c:majorTickMark val="out"/>
        <c:minorTickMark val="none"/>
        <c:tickLblPos val="low"/>
        <c:crossAx val="294820416"/>
        <c:crosses val="autoZero"/>
        <c:auto val="1"/>
        <c:lblAlgn val="ctr"/>
        <c:lblOffset val="100"/>
        <c:noMultiLvlLbl val="0"/>
      </c:catAx>
      <c:valAx>
        <c:axId val="294820416"/>
        <c:scaling>
          <c:orientation val="minMax"/>
        </c:scaling>
        <c:delete val="0"/>
        <c:axPos val="b"/>
        <c:numFmt formatCode="#,##0;[Black]#,##0" sourceLinked="0"/>
        <c:majorTickMark val="out"/>
        <c:minorTickMark val="none"/>
        <c:tickLblPos val="nextTo"/>
        <c:crossAx val="294819856"/>
        <c:crossesAt val="1"/>
        <c:crossBetween val="between"/>
      </c:valAx>
    </c:plotArea>
    <c:legend>
      <c:legendPos val="b"/>
      <c:legendEntry>
        <c:idx val="3"/>
        <c:delete val="1"/>
      </c:legendEntry>
      <c:legendEntry>
        <c:idx val="4"/>
        <c:delete val="1"/>
      </c:legendEntry>
      <c:legendEntry>
        <c:idx val="5"/>
        <c:delete val="1"/>
      </c:legendEntry>
      <c:overlay val="0"/>
    </c:legend>
    <c:plotVisOnly val="1"/>
    <c:dispBlanksAs val="gap"/>
    <c:showDLblsOverMax val="0"/>
  </c:chart>
  <c:spPr>
    <a:ln>
      <a:noFill/>
    </a:ln>
  </c:spPr>
  <c:txPr>
    <a:bodyPr/>
    <a:lstStyle/>
    <a:p>
      <a:pPr>
        <a:defRPr sz="800">
          <a:latin typeface="Arial Narrow" panose="020B0606020202030204" pitchFamily="34" charset="0"/>
          <a:cs typeface="Arial" panose="020B0604020202020204" pitchFamily="34" charset="0"/>
        </a:defRPr>
      </a:pPr>
      <a:endParaRPr lang="it-IT"/>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0.68337</cdr:x>
      <cdr:y>0</cdr:y>
    </cdr:from>
    <cdr:to>
      <cdr:x>0.89647</cdr:x>
      <cdr:y>0.09602</cdr:y>
    </cdr:to>
    <cdr:sp macro="" textlink="">
      <cdr:nvSpPr>
        <cdr:cNvPr id="2" name="CasellaDiTesto 1"/>
        <cdr:cNvSpPr txBox="1"/>
      </cdr:nvSpPr>
      <cdr:spPr>
        <a:xfrm xmlns:a="http://schemas.openxmlformats.org/drawingml/2006/main">
          <a:off x="2091112" y="0"/>
          <a:ext cx="652088"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t-IT" sz="800">
              <a:latin typeface="Arial" panose="020B0604020202020204" pitchFamily="34" charset="0"/>
              <a:cs typeface="Arial" panose="020B0604020202020204" pitchFamily="34" charset="0"/>
            </a:rPr>
            <a:t>Femmine</a:t>
          </a:r>
        </a:p>
      </cdr:txBody>
    </cdr:sp>
  </cdr:relSizeAnchor>
  <cdr:relSizeAnchor xmlns:cdr="http://schemas.openxmlformats.org/drawingml/2006/chartDrawing">
    <cdr:from>
      <cdr:x>0.48248</cdr:x>
      <cdr:y>4.48029E-7</cdr:y>
    </cdr:from>
    <cdr:to>
      <cdr:x>0.66287</cdr:x>
      <cdr:y>0.08322</cdr:y>
    </cdr:to>
    <cdr:sp macro="" textlink="">
      <cdr:nvSpPr>
        <cdr:cNvPr id="3" name="CasellaDiTesto 2"/>
        <cdr:cNvSpPr txBox="1"/>
      </cdr:nvSpPr>
      <cdr:spPr>
        <a:xfrm xmlns:a="http://schemas.openxmlformats.org/drawingml/2006/main">
          <a:off x="1476375" y="1"/>
          <a:ext cx="552007" cy="1857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t-IT" sz="800">
              <a:latin typeface="Arial" panose="020B0604020202020204" pitchFamily="34" charset="0"/>
              <a:cs typeface="Arial" panose="020B0604020202020204" pitchFamily="34" charset="0"/>
            </a:rPr>
            <a:t>Maschi</a:t>
          </a:r>
        </a:p>
        <a:p xmlns:a="http://schemas.openxmlformats.org/drawingml/2006/main">
          <a:endParaRPr lang="it-IT" sz="800"/>
        </a:p>
      </cdr:txBody>
    </cdr:sp>
  </cdr:relSizeAnchor>
</c:userShapes>
</file>

<file path=word/drawings/drawing2.xml><?xml version="1.0" encoding="utf-8"?>
<c:userShapes xmlns:c="http://schemas.openxmlformats.org/drawingml/2006/chart">
  <cdr:relSizeAnchor xmlns:cdr="http://schemas.openxmlformats.org/drawingml/2006/chartDrawing">
    <cdr:from>
      <cdr:x>0.68337</cdr:x>
      <cdr:y>0</cdr:y>
    </cdr:from>
    <cdr:to>
      <cdr:x>0.95068</cdr:x>
      <cdr:y>0.10157</cdr:y>
    </cdr:to>
    <cdr:sp macro="" textlink="">
      <cdr:nvSpPr>
        <cdr:cNvPr id="2" name="CasellaDiTesto 1"/>
        <cdr:cNvSpPr txBox="1"/>
      </cdr:nvSpPr>
      <cdr:spPr>
        <a:xfrm xmlns:a="http://schemas.openxmlformats.org/drawingml/2006/main">
          <a:off x="1862320" y="0"/>
          <a:ext cx="72848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t-IT" sz="800">
              <a:latin typeface="Arial" panose="020B0604020202020204" pitchFamily="34" charset="0"/>
              <a:cs typeface="Arial" panose="020B0604020202020204" pitchFamily="34" charset="0"/>
            </a:rPr>
            <a:t>Femmine</a:t>
          </a:r>
        </a:p>
      </cdr:txBody>
    </cdr:sp>
  </cdr:relSizeAnchor>
  <cdr:relSizeAnchor xmlns:cdr="http://schemas.openxmlformats.org/drawingml/2006/chartDrawing">
    <cdr:from>
      <cdr:x>0.17476</cdr:x>
      <cdr:y>0.00392</cdr:y>
    </cdr:from>
    <cdr:to>
      <cdr:x>0.40894</cdr:x>
      <cdr:y>0.08125</cdr:y>
    </cdr:to>
    <cdr:sp macro="" textlink="">
      <cdr:nvSpPr>
        <cdr:cNvPr id="3" name="CasellaDiTesto 2"/>
        <cdr:cNvSpPr txBox="1"/>
      </cdr:nvSpPr>
      <cdr:spPr>
        <a:xfrm xmlns:a="http://schemas.openxmlformats.org/drawingml/2006/main">
          <a:off x="476250" y="7352"/>
          <a:ext cx="638193" cy="1450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t-IT" sz="800">
              <a:latin typeface="Arial" panose="020B0604020202020204" pitchFamily="34" charset="0"/>
              <a:cs typeface="Arial" panose="020B0604020202020204" pitchFamily="34" charset="0"/>
            </a:rPr>
            <a:t>Maschi</a:t>
          </a:r>
        </a:p>
        <a:p xmlns:a="http://schemas.openxmlformats.org/drawingml/2006/main">
          <a:endParaRPr lang="it-IT" sz="800"/>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48C84-1A95-4F72-A63E-0F045C946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6620</Words>
  <Characters>37736</Characters>
  <Application>Microsoft Office Word</Application>
  <DocSecurity>0</DocSecurity>
  <Lines>314</Lines>
  <Paragraphs>88</Paragraphs>
  <ScaleCrop>false</ScaleCrop>
  <HeadingPairs>
    <vt:vector size="2" baseType="variant">
      <vt:variant>
        <vt:lpstr>Titolo</vt:lpstr>
      </vt:variant>
      <vt:variant>
        <vt:i4>1</vt:i4>
      </vt:variant>
    </vt:vector>
  </HeadingPairs>
  <TitlesOfParts>
    <vt:vector size="1" baseType="lpstr">
      <vt:lpstr>Focus Provincia di Napoli</vt:lpstr>
    </vt:vector>
  </TitlesOfParts>
  <Company>ISTAT</Company>
  <LinksUpToDate>false</LinksUpToDate>
  <CharactersWithSpaces>44268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Provincia di Napoli</dc:title>
  <dc:creator>Istat sede per la Campania</dc:creator>
  <cp:lastModifiedBy>Enza Lucia Rocca Agnese Vaccaro</cp:lastModifiedBy>
  <cp:revision>9</cp:revision>
  <cp:lastPrinted>2021-11-12T12:50:00Z</cp:lastPrinted>
  <dcterms:created xsi:type="dcterms:W3CDTF">2022-11-18T11:16:00Z</dcterms:created>
  <dcterms:modified xsi:type="dcterms:W3CDTF">2022-11-23T10:05:00Z</dcterms:modified>
</cp:coreProperties>
</file>